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0F7B8A"/>
          <w:sz w:val="20"/>
          <w:szCs w:val="20"/>
        </w:rPr>
        <w:t xml:space="preserve">M3C 2026 · STUDI KASUS PT TOYOTA MOTOR MANUFACTURING INDONESIA</w:t>
      </w:r>
    </w:p>
    <w:p>
      <w:pPr>
        <w:spacing w:after="200"/>
      </w:pPr>
      <w:r>
        <w:rPr>
          <w:rFonts w:ascii="Cambria" w:cs="Cambria" w:eastAsia="Cambria" w:hAnsi="Cambria"/>
          <w:b/>
          <w:bCs/>
          <w:color w:val="0F3D4A"/>
          <w:sz w:val="60"/>
          <w:szCs w:val="60"/>
        </w:rPr>
        <w:t xml:space="preserve">Problem Identification &amp; Analysis</w:t>
      </w:r>
    </w:p>
    <w:p>
      <w:pPr>
        <w:spacing w:after="600"/>
      </w:pPr>
      <w:r>
        <w:rPr>
          <w:color w:val="53656C"/>
          <w:sz w:val="28"/>
          <w:szCs w:val="28"/>
        </w:rPr>
        <w:t xml:space="preserve">Profil perusahaan, latar belakang, issue tree, dan gap analysis</w:t>
      </w:r>
    </w:p>
    <w:p>
      <w:pPr>
        <w:shd w:fill="FDF1CF" w:color="auto" w:val="clear"/>
        <w:spacing w:after="60" w:before="120" w:line="300"/>
        <w:ind w:left="160" w:right="160"/>
      </w:pPr>
      <w:r>
        <w:rPr>
          <w:b/>
          <w:bCs/>
        </w:rPr>
        <w:t xml:space="preserve">Temuan utama.</w:t>
      </w:r>
      <w:r>
        <w:t xml:space="preserve"> Selisih biaya konversi TMMIN terhadap pemain baru melebar dari 6 menjadi 17 poin indeks dalam dua tahun, rata-rata 5,5 poin per tahun.</w:t>
      </w:r>
    </w:p>
    <w:p>
      <w:pPr>
        <w:shd w:fill="FDF1CF" w:color="auto" w:val="clear"/>
        <w:spacing w:after="60" w:before="0" w:line="300"/>
        <w:ind w:left="160" w:right="160"/>
      </w:pPr>
      <w:r>
        <w:t xml:space="preserve">Ketiga belas indikator internal yang punya data 2023 dan 2025 memburuk, dan mengembalikan kinerja ke level 2023 hanya menutup 11–19% selisih.</w:t>
      </w:r>
    </w:p>
    <w:p>
      <w:pPr>
        <w:shd w:fill="FDF1CF" w:color="auto" w:val="clear"/>
        <w:spacing w:after="200" w:before="0" w:line="300"/>
        <w:ind w:left="160" w:right="160"/>
      </w:pPr>
      <w:r>
        <w:t xml:space="preserve">Akar masalahnya: sinyal masalah dan pelajaran perbaikan tidak punya jalur kembali, sehingga laju belajar pabrik kalah dari pesaing. Celah terbesar ada </w:t>
      </w:r>
      <w:r>
        <w:rPr>
          <w:b/>
          <w:bCs/>
        </w:rPr>
        <w:t xml:space="preserve">di antara proses</w:t>
      </w:r>
      <w:r>
        <w:t xml:space="preserve">: inspeksi kualitas dan integrasi data, dua fungsi yang masih di Level 1.</w:t>
      </w:r>
    </w:p>
    <w:p>
      <w:pPr>
        <w:spacing w:before="1800"/>
      </w:pPr>
      <w:r>
        <w:rPr>
          <w:color w:val="53656C"/>
          <w:sz w:val="20"/>
          <w:szCs w:val="20"/>
        </w:rPr>
        <w:t xml:space="preserve">Tim [Nama Tim] · [Nama Anggota 1] · [Nama Anggota 2] · [Nama Anggota 3]</w:t>
      </w:r>
    </w:p>
    <w:p>
      <w:r>
        <w:rPr>
          <w:i/>
          <w:iCs/>
          <w:color w:val="53656C"/>
          <w:sz w:val="17"/>
          <w:szCs w:val="17"/>
        </w:rPr>
        <w:t xml:space="preserve">Exhibit 3–9 casebook adalah data dummy dari panitia. Angka turunan dihitung ulang dengan skrip di folder work/ dan model/.</w:t>
      </w:r>
    </w:p>
    <w:p>
      <w:r>
        <w:br w:type="page"/>
      </w:r>
    </w:p>
    <w:p>
      <w:pPr>
        <w:sectPr>
          <w:pgSz w:w="11906" w:h="16838" w:orient="portrait"/>
          <w:pgMar w:top="1134" w:right="1134" w:bottom="1134" w:left="1134" w:header="708" w:footer="708" w:gutter="0"/>
          <w:pgNumType/>
          <w:docGrid w:linePitch="360"/>
        </w:sectPr>
      </w:pPr>
    </w:p>
    <w:p>
      <w:pPr>
        <w:pStyle w:val="Heading1"/>
      </w:pPr>
      <w:r>
        <w:t xml:space="preserve">1. Profil Perusahaan</w:t>
      </w:r>
    </w:p>
    <w:p>
      <w:pPr>
        <w:pStyle w:val="Heading2"/>
      </w:pPr>
      <w:r>
        <w:t xml:space="preserve">1.1 Gambaran umum</w:t>
      </w:r>
    </w:p>
    <w:p>
      <w:pPr>
        <w:spacing w:after="120" w:line="300"/>
      </w:pPr>
      <w:r>
        <w:t xml:space="preserve">PT Toyota Motor Manufacturing Indonesia (TMMIN) adalah basis manufaktur Toyota di Indonesia. TMMIN mengoperasikan lima fasilitas di Jakarta Utara dan Karawang yang memproduksi kendaraan, mesin, serta komponen press dan casting.</w:t>
      </w:r>
    </w:p>
    <w:p>
      <w:pPr>
        <w:spacing w:after="120" w:line="300"/>
      </w:pPr>
      <w:r>
        <w:t xml:space="preserve">Perusahaan sedang bergeser dari fokus </w:t>
      </w:r>
      <w:r>
        <w:rPr>
          <w:i/>
          <w:iCs/>
        </w:rPr>
        <w:t xml:space="preserve">green manufacturing</w:t>
      </w:r>
      <w:r>
        <w:t xml:space="preserve"> menuju perusahaan mobilitas, dengan pendekatan </w:t>
      </w:r>
      <w:r>
        <w:rPr>
          <w:b/>
          <w:bCs/>
        </w:rPr>
        <w:t xml:space="preserve">multi-pathway</w:t>
      </w:r>
      <w:r>
        <w:t xml:space="preserve">: satu basis produksi yang menampung kendaraan konvensional (ICE), hybrid (HEV), plug-in hybrid (PHEV), dan listrik baterai (BEV) sekaligus. Periode 2026–2030 adalah jendela terbentuknya posisi kompetitif jangka panjang.</w:t>
      </w:r>
    </w:p>
    <w:p>
      <w:pPr>
        <w:pStyle w:val="Heading2"/>
      </w:pPr>
      <w:r>
        <w:t xml:space="preserve">1.2 Fasilitas produksi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1584"/>
        <w:gridCol w:w="792"/>
        <w:gridCol w:w="2904"/>
        <w:gridCol w:w="2906"/>
      </w:tblGrid>
      <w:tr>
        <w:trPr>
          <w:tblHeader/>
        </w:trPr>
        <w:tc>
          <w:tcPr>
            <w:tcW w:type="dxa" w:w="145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Fasilitas</w:t>
            </w:r>
          </w:p>
        </w:tc>
        <w:tc>
          <w:tcPr>
            <w:tcW w:type="dxa" w:w="1584"/>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Lokasi</w:t>
            </w:r>
          </w:p>
        </w:tc>
        <w:tc>
          <w:tcPr>
            <w:tcW w:type="dxa" w:w="79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Sejak</w:t>
            </w:r>
          </w:p>
        </w:tc>
        <w:tc>
          <w:tcPr>
            <w:tcW w:type="dxa" w:w="2904"/>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Produksi</w:t>
            </w:r>
          </w:p>
        </w:tc>
        <w:tc>
          <w:tcPr>
            <w:tcW w:type="dxa" w:w="290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Kapasitas/tahun</w:t>
            </w:r>
          </w:p>
        </w:tc>
      </w:tr>
      <w:tr>
        <w:trPr>
          <w:tblHeader w:val="false"/>
        </w:trPr>
        <w:tc>
          <w:tcPr>
            <w:tcW w:type="dxa" w:w="145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Sunter I</w:t>
            </w:r>
          </w:p>
        </w:tc>
        <w:tc>
          <w:tcPr>
            <w:tcW w:type="dxa" w:w="158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Jakarta Utara</w:t>
            </w:r>
          </w:p>
        </w:tc>
        <w:tc>
          <w:tcPr>
            <w:tcW w:type="dxa" w:w="79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1973</w:t>
            </w:r>
          </w:p>
        </w:tc>
        <w:tc>
          <w:tcPr>
            <w:tcW w:type="dxa" w:w="29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Mesin TR dan mesin etanol</w:t>
            </w:r>
          </w:p>
        </w:tc>
        <w:tc>
          <w:tcPr>
            <w:tcW w:type="dxa" w:w="29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195.000 unit</w:t>
            </w:r>
          </w:p>
        </w:tc>
      </w:tr>
      <w:tr>
        <w:trPr>
          <w:tblHeader w:val="false"/>
        </w:trPr>
        <w:tc>
          <w:tcPr>
            <w:tcW w:type="dxa" w:w="145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Sunter II</w:t>
            </w:r>
          </w:p>
        </w:tc>
        <w:tc>
          <w:tcPr>
            <w:tcW w:type="dxa" w:w="158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Jakarta Utara</w:t>
            </w:r>
          </w:p>
        </w:tc>
        <w:tc>
          <w:tcPr>
            <w:tcW w:type="dxa" w:w="79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1977</w:t>
            </w:r>
          </w:p>
        </w:tc>
        <w:tc>
          <w:tcPr>
            <w:tcW w:type="dxa" w:w="29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Press parts dan casting</w:t>
            </w:r>
          </w:p>
        </w:tc>
        <w:tc>
          <w:tcPr>
            <w:tcW w:type="dxa" w:w="29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96.000 unit press parts; 10.000 ton casting</w:t>
            </w:r>
          </w:p>
        </w:tc>
      </w:tr>
      <w:tr>
        <w:trPr>
          <w:tblHeader w:val="false"/>
        </w:trPr>
        <w:tc>
          <w:tcPr>
            <w:tcW w:type="dxa" w:w="145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Karawang I</w:t>
            </w:r>
          </w:p>
        </w:tc>
        <w:tc>
          <w:tcPr>
            <w:tcW w:type="dxa" w:w="158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Karawang</w:t>
            </w:r>
          </w:p>
        </w:tc>
        <w:tc>
          <w:tcPr>
            <w:tcW w:type="dxa" w:w="79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1998</w:t>
            </w:r>
          </w:p>
        </w:tc>
        <w:tc>
          <w:tcPr>
            <w:tcW w:type="dxa" w:w="29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Perakitan kendaraan (IMV)</w:t>
            </w:r>
          </w:p>
        </w:tc>
        <w:tc>
          <w:tcPr>
            <w:tcW w:type="dxa" w:w="29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130.000 unit</w:t>
            </w:r>
          </w:p>
        </w:tc>
      </w:tr>
      <w:tr>
        <w:trPr>
          <w:tblHeader w:val="false"/>
        </w:trPr>
        <w:tc>
          <w:tcPr>
            <w:tcW w:type="dxa" w:w="145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Karawang II</w:t>
            </w:r>
          </w:p>
        </w:tc>
        <w:tc>
          <w:tcPr>
            <w:tcW w:type="dxa" w:w="158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Karawang</w:t>
            </w:r>
          </w:p>
        </w:tc>
        <w:tc>
          <w:tcPr>
            <w:tcW w:type="dxa" w:w="79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2013</w:t>
            </w:r>
          </w:p>
        </w:tc>
        <w:tc>
          <w:tcPr>
            <w:tcW w:type="dxa" w:w="29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Perakitan kendaraan penumpang</w:t>
            </w:r>
          </w:p>
        </w:tc>
        <w:tc>
          <w:tcPr>
            <w:tcW w:type="dxa" w:w="29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120.000 unit</w:t>
            </w:r>
          </w:p>
        </w:tc>
      </w:tr>
      <w:tr>
        <w:trPr>
          <w:tblHeader w:val="false"/>
        </w:trPr>
        <w:tc>
          <w:tcPr>
            <w:tcW w:type="dxa" w:w="145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Karawang III</w:t>
            </w:r>
          </w:p>
        </w:tc>
        <w:tc>
          <w:tcPr>
            <w:tcW w:type="dxa" w:w="158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Karawang</w:t>
            </w:r>
          </w:p>
        </w:tc>
        <w:tc>
          <w:tcPr>
            <w:tcW w:type="dxa" w:w="79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2016</w:t>
            </w:r>
          </w:p>
        </w:tc>
        <w:tc>
          <w:tcPr>
            <w:tcW w:type="dxa" w:w="29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Casting, machining, perakitan mesin R-NR</w:t>
            </w:r>
          </w:p>
        </w:tc>
        <w:tc>
          <w:tcPr>
            <w:tcW w:type="dxa" w:w="29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216.000 unit</w:t>
            </w:r>
          </w:p>
        </w:tc>
      </w:tr>
    </w:tbl>
    <w:p>
      <w:pPr>
        <w:spacing w:after="220" w:before="40"/>
      </w:pPr>
      <w:r>
        <w:rPr>
          <w:color w:val="53656C"/>
          <w:sz w:val="17"/>
          <w:szCs w:val="17"/>
        </w:rPr>
        <w:t xml:space="preserve">Sumber: Casebook, Exhibit 2.</w:t>
      </w:r>
    </w:p>
    <w:p>
      <w:pPr>
        <w:pStyle w:val="Heading2"/>
      </w:pPr>
      <w:r>
        <w:t xml:space="preserve">1.3 Parameter operasi dan finansial Karawang</w:t>
      </w:r>
    </w:p>
    <w:p>
      <w:pPr>
        <w:spacing w:after="120" w:line="300"/>
      </w:pPr>
      <w:r>
        <w:t xml:space="preserve">Analisis biaya dalam dokumen ini berfokus pada perakitan kendaraan Karawang I dan II, sesuai parameter finansial yang diberikan casebook.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2"/>
        <w:gridCol w:w="3856"/>
      </w:tblGrid>
      <w:tr>
        <w:trPr>
          <w:tblHeader/>
        </w:trPr>
        <w:tc>
          <w:tcPr>
            <w:tcW w:type="dxa" w:w="578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Parameter</w:t>
            </w:r>
          </w:p>
        </w:tc>
        <w:tc>
          <w:tcPr>
            <w:tcW w:type="dxa" w:w="385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Nilai</w:t>
            </w:r>
          </w:p>
        </w:tc>
      </w:tr>
      <w:tr>
        <w:trPr>
          <w:tblHeader w:val="false"/>
        </w:trPr>
        <w:tc>
          <w:tcPr>
            <w:tcW w:type="dxa" w:w="57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Kapasitas terpasang Karawang I &amp; II</w:t>
            </w:r>
          </w:p>
        </w:tc>
        <w:tc>
          <w:tcPr>
            <w:tcW w:type="dxa" w:w="38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250.000 unit/tahun</w:t>
            </w:r>
          </w:p>
        </w:tc>
      </w:tr>
      <w:tr>
        <w:trPr>
          <w:tblHeader w:val="false"/>
        </w:trPr>
        <w:tc>
          <w:tcPr>
            <w:tcW w:type="dxa" w:w="578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Utilisasi 2025</w:t>
            </w:r>
          </w:p>
        </w:tc>
        <w:tc>
          <w:tcPr>
            <w:tcW w:type="dxa" w:w="38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70% (~175.000 unit)</w:t>
            </w:r>
          </w:p>
        </w:tc>
      </w:tr>
      <w:tr>
        <w:trPr>
          <w:tblHeader w:val="false"/>
        </w:trPr>
        <w:tc>
          <w:tcPr>
            <w:tcW w:type="dxa" w:w="57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Biaya konversi per unit 2025</w:t>
            </w:r>
          </w:p>
        </w:tc>
        <w:tc>
          <w:tcPr>
            <w:tcW w:type="dxa" w:w="38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Rp3,2 juta (tenaga kerja, energi, perawatan, depresiasi, scrap)</w:t>
            </w:r>
          </w:p>
        </w:tc>
      </w:tr>
      <w:tr>
        <w:trPr>
          <w:tblHeader w:val="false"/>
        </w:trPr>
        <w:tc>
          <w:tcPr>
            <w:tcW w:type="dxa" w:w="578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Total biaya konversi 2025</w:t>
            </w:r>
          </w:p>
        </w:tc>
        <w:tc>
          <w:tcPr>
            <w:tcW w:type="dxa" w:w="38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~Rp560 miliar</w:t>
            </w:r>
          </w:p>
        </w:tc>
      </w:tr>
      <w:tr>
        <w:trPr>
          <w:tblHeader w:val="false"/>
        </w:trPr>
        <w:tc>
          <w:tcPr>
            <w:tcW w:type="dxa" w:w="57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Rentang investasi program 3–5 tahun</w:t>
            </w:r>
          </w:p>
        </w:tc>
        <w:tc>
          <w:tcPr>
            <w:tcW w:type="dxa" w:w="38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Rp40–120 miliar</w:t>
            </w:r>
          </w:p>
        </w:tc>
      </w:tr>
      <w:tr>
        <w:trPr>
          <w:tblHeader w:val="false"/>
        </w:trPr>
        <w:tc>
          <w:tcPr>
            <w:tcW w:type="dxa" w:w="578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Tingkat diskonto</w:t>
            </w:r>
          </w:p>
        </w:tc>
        <w:tc>
          <w:tcPr>
            <w:tcW w:type="dxa" w:w="38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10%/tahun</w:t>
            </w:r>
          </w:p>
        </w:tc>
      </w:tr>
      <w:tr>
        <w:trPr>
          <w:tblHeader w:val="false"/>
        </w:trPr>
        <w:tc>
          <w:tcPr>
            <w:tcW w:type="dxa" w:w="57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Umur ekonomis teknologi</w:t>
            </w:r>
          </w:p>
        </w:tc>
        <w:tc>
          <w:tcPr>
            <w:tcW w:type="dxa" w:w="38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5 tahun</w:t>
            </w:r>
          </w:p>
        </w:tc>
      </w:tr>
      <w:tr>
        <w:trPr>
          <w:tblHeader w:val="false"/>
        </w:trPr>
        <w:tc>
          <w:tcPr>
            <w:tcW w:type="dxa" w:w="578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Eskalasi biaya tenaga kerja &amp; energi</w:t>
            </w:r>
          </w:p>
        </w:tc>
        <w:tc>
          <w:tcPr>
            <w:tcW w:type="dxa" w:w="38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4%/tahun</w:t>
            </w:r>
          </w:p>
        </w:tc>
      </w:tr>
    </w:tbl>
    <w:p>
      <w:pPr>
        <w:spacing w:after="220" w:before="40"/>
      </w:pPr>
      <w:r>
        <w:rPr>
          <w:color w:val="53656C"/>
          <w:sz w:val="17"/>
          <w:szCs w:val="17"/>
        </w:rPr>
        <w:t xml:space="preserve">Sumber: Casebook, Exhibit 9.</w:t>
      </w:r>
    </w:p>
    <w:p>
      <w:pPr>
        <w:pStyle w:val="Heading2"/>
      </w:pPr>
      <w:r>
        <w:t xml:space="preserve">1.4 Tingkat otomasi per proses</w:t>
      </w:r>
    </w:p>
    <w:p>
      <w:pPr>
        <w:spacing w:after="120" w:line="300"/>
      </w:pPr>
      <w:r>
        <w:t xml:space="preserve">Dari dua belas proses, hanya dua yang masih di Level 1 (manual): </w:t>
      </w:r>
      <w:r>
        <w:rPr>
          <w:b/>
          <w:bCs/>
        </w:rPr>
        <w:t xml:space="preserve">inspeksi kualitas</w:t>
      </w:r>
      <w:r>
        <w:t xml:space="preserve"> dan </w:t>
      </w:r>
      <w:r>
        <w:rPr>
          <w:b/>
          <w:bCs/>
        </w:rPr>
        <w:t xml:space="preserve">integrasi data</w:t>
      </w:r>
      <w:r>
        <w:t xml:space="preserve">. Keduanya bukan proses produksi, melainkan titik temu tempat sinyal antarproses seharusnya mengalir.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850"/>
        <w:gridCol w:w="5670"/>
      </w:tblGrid>
      <w:tr>
        <w:trPr>
          <w:tblHeader/>
        </w:trPr>
        <w:tc>
          <w:tcPr>
            <w:tcW w:type="dxa" w:w="3118"/>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Proses</w:t>
            </w:r>
          </w:p>
        </w:tc>
        <w:tc>
          <w:tcPr>
            <w:tcW w:type="dxa" w:w="85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w:t>
            </w:r>
          </w:p>
        </w:tc>
        <w:tc>
          <w:tcPr>
            <w:tcW w:type="dxa" w:w="567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Kondisi</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Press shop</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Ganti die dan cek kualitas panel masih oleh operator</w:t>
            </w:r>
          </w:p>
        </w:tc>
      </w:tr>
      <w:tr>
        <w:trPr>
          <w:tblHeader w:val="false"/>
        </w:trPr>
        <w:tc>
          <w:tcPr>
            <w:tcW w:type="dxa" w:w="311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Casting</w:t>
            </w:r>
          </w:p>
        </w:tc>
        <w:tc>
          <w:tcPr>
            <w:tcW w:type="dxa" w:w="85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Finishing, handling, inspeksi sebagian manual</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Machining &amp; engine assembly</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Perakitan dan inspeksi sebagian manual</w:t>
            </w:r>
          </w:p>
        </w:tc>
      </w:tr>
      <w:tr>
        <w:trPr>
          <w:tblHeader w:val="false"/>
        </w:trPr>
        <w:tc>
          <w:tcPr>
            <w:tcW w:type="dxa" w:w="311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Body welding: spot welding</w:t>
            </w:r>
          </w:p>
        </w:tc>
        <w:tc>
          <w:tcPr>
            <w:tcW w:type="dxa" w:w="85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w:t>
            </w:r>
          </w:p>
        </w:tc>
        <w:tc>
          <w:tcPr>
            <w:tcW w:type="dxa" w:w="56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Robot terprogram, terintegrasi</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Body welding: sealer</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Manual/semi-otomatis; belum ada umpan balik kualitas otomatis</w:t>
            </w:r>
          </w:p>
        </w:tc>
      </w:tr>
      <w:tr>
        <w:trPr>
          <w:tblHeader w:val="false"/>
        </w:trPr>
        <w:tc>
          <w:tcPr>
            <w:tcW w:type="dxa" w:w="311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Painting</w:t>
            </w:r>
          </w:p>
        </w:tc>
        <w:tc>
          <w:tcPr>
            <w:tcW w:type="dxa" w:w="85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w:t>
            </w:r>
          </w:p>
        </w:tc>
        <w:tc>
          <w:tcPr>
            <w:tcW w:type="dxa" w:w="56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Cek kualitas dan perbaikan cacat masih visual manual</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Final assembly</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Sebagian besar manual; variasi varian ditangani operator</w:t>
            </w:r>
          </w:p>
        </w:tc>
      </w:tr>
      <w:tr>
        <w:trPr>
          <w:tblHeader w:val="false"/>
        </w:trPr>
        <w:tc>
          <w:tcPr>
            <w:tcW w:type="dxa" w:w="3118"/>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Quality inspection</w:t>
            </w:r>
          </w:p>
        </w:tc>
        <w:tc>
          <w:tcPr>
            <w:tcW w:type="dxa" w:w="85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1</w:t>
            </w:r>
          </w:p>
        </w:tc>
        <w:tc>
          <w:tcPr>
            <w:tcW w:type="dxa" w:w="567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Visual manual; kamera AI dari CCTV validasi s.d. Okt 2026</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Intralogistics</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Forklift dan dolly manual; uji AGV/AMR di area pilot</w:t>
            </w:r>
          </w:p>
        </w:tc>
      </w:tr>
      <w:tr>
        <w:trPr>
          <w:tblHeader w:val="false"/>
        </w:trPr>
        <w:tc>
          <w:tcPr>
            <w:tcW w:type="dxa" w:w="311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Maintenance</w:t>
            </w:r>
          </w:p>
        </w:tc>
        <w:tc>
          <w:tcPr>
            <w:tcW w:type="dxa" w:w="85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Preventif berkala, belum prediktif</w:t>
            </w:r>
          </w:p>
        </w:tc>
      </w:tr>
      <w:tr>
        <w:trPr>
          <w:tblHeader w:val="false"/>
        </w:trPr>
        <w:tc>
          <w:tcPr>
            <w:tcW w:type="dxa" w:w="311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Equipment &amp; system integration</w:t>
            </w:r>
          </w:p>
        </w:tc>
        <w:tc>
          <w:tcPr>
            <w:tcW w:type="dxa" w:w="85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w:t>
            </w:r>
          </w:p>
        </w:tc>
        <w:tc>
          <w:tcPr>
            <w:tcW w:type="dxa" w:w="56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Point-to-point, tanpa standar antarmuka</w:t>
            </w:r>
          </w:p>
        </w:tc>
      </w:tr>
      <w:tr>
        <w:trPr>
          <w:tblHeader w:val="false"/>
        </w:trPr>
        <w:tc>
          <w:tcPr>
            <w:tcW w:type="dxa" w:w="3118"/>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Data integration</w:t>
            </w:r>
          </w:p>
        </w:tc>
        <w:tc>
          <w:tcPr>
            <w:tcW w:type="dxa" w:w="85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1</w:t>
            </w:r>
          </w:p>
        </w:tc>
        <w:tc>
          <w:tcPr>
            <w:tcW w:type="dxa" w:w="567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Data peralatan, kualitas, logistik tidak terhubung</w:t>
            </w:r>
          </w:p>
        </w:tc>
      </w:tr>
    </w:tbl>
    <w:p>
      <w:pPr>
        <w:spacing w:after="220" w:before="40"/>
      </w:pPr>
      <w:r>
        <w:rPr>
          <w:color w:val="53656C"/>
          <w:sz w:val="17"/>
          <w:szCs w:val="17"/>
        </w:rPr>
        <w:t xml:space="preserve">Sumber: Casebook, Exhibit 5 (Level 1 = manual, Level 4 = otonom). Baris berwarna: Level 1.</w:t>
      </w:r>
    </w:p>
    <w:p>
      <w:pPr>
        <w:pStyle w:val="Heading2"/>
      </w:pPr>
      <w:r>
        <w:t xml:space="preserve">1.5 Profil kompetensi engineer</w:t>
      </w:r>
    </w:p>
    <w:p>
      <w:pPr>
        <w:spacing w:after="120" w:line="300"/>
      </w:pPr>
      <w:r>
        <w:t xml:space="preserve">Kekuatan TMMIN ada di bidang mekanikal dan elektrikal. Kompetensi digital sangat tipis: hanya </w:t>
      </w:r>
      <w:r>
        <w:rPr>
          <w:b/>
          <w:bCs/>
        </w:rPr>
        <w:t xml:space="preserve">2 dari 30</w:t>
      </w:r>
      <w:r>
        <w:t xml:space="preserve"> engineer Software &amp; AI berada di Level 3 ke atas, dan tidak ada satu pun di Level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1606"/>
        <w:gridCol w:w="1606"/>
        <w:gridCol w:w="1606"/>
        <w:gridCol w:w="1608"/>
      </w:tblGrid>
      <w:tr>
        <w:trPr>
          <w:tblHeader/>
        </w:trPr>
        <w:tc>
          <w:tcPr>
            <w:tcW w:type="dxa" w:w="321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Bidang</w:t>
            </w:r>
          </w:p>
        </w:tc>
        <w:tc>
          <w:tcPr>
            <w:tcW w:type="dxa" w:w="160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 1</w:t>
            </w:r>
          </w:p>
        </w:tc>
        <w:tc>
          <w:tcPr>
            <w:tcW w:type="dxa" w:w="160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 2</w:t>
            </w:r>
          </w:p>
        </w:tc>
        <w:tc>
          <w:tcPr>
            <w:tcW w:type="dxa" w:w="160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 3</w:t>
            </w:r>
          </w:p>
        </w:tc>
        <w:tc>
          <w:tcPr>
            <w:tcW w:type="dxa" w:w="1608"/>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 4</w:t>
            </w:r>
          </w:p>
        </w:tc>
      </w:tr>
      <w:tr>
        <w:trPr>
          <w:tblHeader w:val="false"/>
        </w:trPr>
        <w:tc>
          <w:tcPr>
            <w:tcW w:type="dxa" w:w="321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Mechanical</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8</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14</w:t>
            </w:r>
          </w:p>
        </w:tc>
        <w:tc>
          <w:tcPr>
            <w:tcW w:type="dxa" w:w="16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5</w:t>
            </w:r>
          </w:p>
        </w:tc>
      </w:tr>
      <w:tr>
        <w:trPr>
          <w:tblHeader w:val="false"/>
        </w:trPr>
        <w:tc>
          <w:tcPr>
            <w:tcW w:type="dxa" w:w="321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Electrical</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5</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10</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11</w:t>
            </w:r>
          </w:p>
        </w:tc>
        <w:tc>
          <w:tcPr>
            <w:tcW w:type="dxa" w:w="16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4</w:t>
            </w:r>
          </w:p>
        </w:tc>
      </w:tr>
      <w:tr>
        <w:trPr>
          <w:tblHeader w:val="false"/>
        </w:trPr>
        <w:tc>
          <w:tcPr>
            <w:tcW w:type="dxa" w:w="321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PLC</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7</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11</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9</w:t>
            </w:r>
          </w:p>
        </w:tc>
        <w:tc>
          <w:tcPr>
            <w:tcW w:type="dxa" w:w="16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w:t>
            </w:r>
          </w:p>
        </w:tc>
      </w:tr>
      <w:tr>
        <w:trPr>
          <w:tblHeader w:val="false"/>
        </w:trPr>
        <w:tc>
          <w:tcPr>
            <w:tcW w:type="dxa" w:w="321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Programming</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14</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10</w:t>
            </w:r>
          </w:p>
        </w:tc>
        <w:tc>
          <w:tcPr>
            <w:tcW w:type="dxa" w:w="160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5</w:t>
            </w:r>
          </w:p>
        </w:tc>
        <w:tc>
          <w:tcPr>
            <w:tcW w:type="dxa" w:w="16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w:t>
            </w:r>
          </w:p>
        </w:tc>
      </w:tr>
      <w:tr>
        <w:trPr>
          <w:tblHeader w:val="false"/>
        </w:trPr>
        <w:tc>
          <w:tcPr>
            <w:tcW w:type="dxa" w:w="321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Software &amp; AI</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20</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8</w:t>
            </w:r>
          </w:p>
        </w:tc>
        <w:tc>
          <w:tcPr>
            <w:tcW w:type="dxa" w:w="160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16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0</w:t>
            </w:r>
          </w:p>
        </w:tc>
      </w:tr>
    </w:tbl>
    <w:p>
      <w:pPr>
        <w:spacing w:after="220" w:before="40"/>
      </w:pPr>
      <w:r>
        <w:rPr>
          <w:color w:val="53656C"/>
          <w:sz w:val="17"/>
          <w:szCs w:val="17"/>
        </w:rPr>
        <w:t xml:space="preserve">Sumber: Casebook, Exhibit 7 (jumlah orang per level, N = 30 per bidang).</w:t>
      </w:r>
    </w:p>
    <w:p>
      <w:r>
        <w:br w:type="page"/>
      </w:r>
    </w:p>
    <w:p>
      <w:pPr>
        <w:pStyle w:val="Heading1"/>
      </w:pPr>
      <w:r>
        <w:t xml:space="preserve">2. Latar Belakang</w:t>
      </w:r>
    </w:p>
    <w:p>
      <w:pPr>
        <w:pStyle w:val="Heading2"/>
      </w:pPr>
      <w:r>
        <w:t xml:space="preserve">2.1 Tekanan industri</w:t>
      </w:r>
    </w:p>
    <w:p>
      <w:pPr>
        <w:spacing w:after="120" w:line="300"/>
      </w:pPr>
      <w:r>
        <w:t xml:space="preserve">Industri otomotif global sedang berubah oleh empat tren teknologi: </w:t>
      </w:r>
      <w:r>
        <w:rPr>
          <w:b/>
          <w:bCs/>
        </w:rPr>
        <w:t xml:space="preserve">Connected, Autonomous, Shared, dan Electric (C.A.S.E.)</w:t>
      </w:r>
      <w:r>
        <w:t xml:space="preserve">. Di Indonesia, perubahan ini datang bersamaan dengan pasar domestik yang melemah dan masuknya pemain baru dengan harga agresif serta siklus peluncuran yang cepat.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tblHeader/>
        </w:trPr>
        <w:tc>
          <w:tcPr>
            <w:tcW w:type="dxa" w:w="3855"/>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Metrik</w:t>
            </w:r>
          </w:p>
        </w:tc>
        <w:tc>
          <w:tcPr>
            <w:tcW w:type="dxa" w:w="192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2024</w:t>
            </w:r>
          </w:p>
        </w:tc>
        <w:tc>
          <w:tcPr>
            <w:tcW w:type="dxa" w:w="192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2025</w:t>
            </w:r>
          </w:p>
        </w:tc>
        <w:tc>
          <w:tcPr>
            <w:tcW w:type="dxa" w:w="192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Perubahan</w:t>
            </w:r>
          </w:p>
        </w:tc>
      </w:tr>
      <w:tr>
        <w:trPr>
          <w:tblHeader w:val="false"/>
        </w:trPr>
        <w:tc>
          <w:tcPr>
            <w:tcW w:type="dxa" w:w="385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Wholesales (unit)</w:t>
            </w:r>
          </w:p>
        </w:tc>
        <w:tc>
          <w:tcPr>
            <w:tcW w:type="dxa" w:w="19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865.723</w:t>
            </w:r>
          </w:p>
        </w:tc>
        <w:tc>
          <w:tcPr>
            <w:tcW w:type="dxa" w:w="19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803.687</w:t>
            </w:r>
          </w:p>
        </w:tc>
        <w:tc>
          <w:tcPr>
            <w:tcW w:type="dxa" w:w="192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−7,2%</w:t>
            </w:r>
          </w:p>
        </w:tc>
      </w:tr>
      <w:tr>
        <w:trPr>
          <w:tblHeader w:val="false"/>
        </w:trPr>
        <w:tc>
          <w:tcPr>
            <w:tcW w:type="dxa" w:w="385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Retail sales (unit)</w:t>
            </w:r>
          </w:p>
        </w:tc>
        <w:tc>
          <w:tcPr>
            <w:tcW w:type="dxa" w:w="19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889.680</w:t>
            </w:r>
          </w:p>
        </w:tc>
        <w:tc>
          <w:tcPr>
            <w:tcW w:type="dxa" w:w="19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833.692</w:t>
            </w:r>
          </w:p>
        </w:tc>
        <w:tc>
          <w:tcPr>
            <w:tcW w:type="dxa" w:w="192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−6,3%</w:t>
            </w:r>
          </w:p>
        </w:tc>
      </w:tr>
    </w:tbl>
    <w:p>
      <w:pPr>
        <w:spacing w:after="220" w:before="40"/>
      </w:pPr>
      <w:r>
        <w:rPr>
          <w:color w:val="53656C"/>
          <w:sz w:val="17"/>
          <w:szCs w:val="17"/>
        </w:rPr>
        <w:t xml:space="preserve">Sumber: Casebook, Exhibit 1.</w:t>
      </w:r>
    </w:p>
    <w:p>
      <w:pPr>
        <w:spacing w:after="120" w:line="300"/>
      </w:pPr>
      <w:r>
        <w:t xml:space="preserve">Pada saat yang sama, porsi kendaraan elektrifikasi akan naik tajam. Lini yang sama harus menampung lebih banyak varian tanpa menambah biaya.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3"/>
        <w:gridCol w:w="1661"/>
        <w:gridCol w:w="2326"/>
        <w:gridCol w:w="2328"/>
      </w:tblGrid>
      <w:tr>
        <w:trPr>
          <w:tblHeader/>
        </w:trPr>
        <w:tc>
          <w:tcPr>
            <w:tcW w:type="dxa" w:w="3323"/>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Pathway</w:t>
            </w:r>
          </w:p>
        </w:tc>
        <w:tc>
          <w:tcPr>
            <w:tcW w:type="dxa" w:w="1661"/>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2026</w:t>
            </w:r>
          </w:p>
        </w:tc>
        <w:tc>
          <w:tcPr>
            <w:tcW w:type="dxa" w:w="232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2030 moderat</w:t>
            </w:r>
          </w:p>
        </w:tc>
        <w:tc>
          <w:tcPr>
            <w:tcW w:type="dxa" w:w="2328"/>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2030 agresif</w:t>
            </w:r>
          </w:p>
        </w:tc>
      </w:tr>
      <w:tr>
        <w:trPr>
          <w:tblHeader w:val="false"/>
        </w:trPr>
        <w:tc>
          <w:tcPr>
            <w:tcW w:type="dxa" w:w="332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b w:val="false"/>
                <w:bCs w:val="false"/>
                <w:sz w:val="18"/>
                <w:szCs w:val="18"/>
              </w:rPr>
              <w:t xml:space="preserve">ICE</w:t>
            </w:r>
          </w:p>
        </w:tc>
        <w:tc>
          <w:tcPr>
            <w:tcW w:type="dxa" w:w="166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70%</w:t>
            </w:r>
          </w:p>
        </w:tc>
        <w:tc>
          <w:tcPr>
            <w:tcW w:type="dxa" w:w="232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45%</w:t>
            </w:r>
          </w:p>
        </w:tc>
        <w:tc>
          <w:tcPr>
            <w:tcW w:type="dxa" w:w="232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30%</w:t>
            </w:r>
          </w:p>
        </w:tc>
      </w:tr>
      <w:tr>
        <w:trPr>
          <w:tblHeader w:val="false"/>
        </w:trPr>
        <w:tc>
          <w:tcPr>
            <w:tcW w:type="dxa" w:w="3323"/>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b w:val="false"/>
                <w:bCs w:val="false"/>
                <w:sz w:val="18"/>
                <w:szCs w:val="18"/>
              </w:rPr>
              <w:t xml:space="preserve">HEV</w:t>
            </w:r>
          </w:p>
        </w:tc>
        <w:tc>
          <w:tcPr>
            <w:tcW w:type="dxa" w:w="166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25%</w:t>
            </w:r>
          </w:p>
        </w:tc>
        <w:tc>
          <w:tcPr>
            <w:tcW w:type="dxa" w:w="232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38%</w:t>
            </w:r>
          </w:p>
        </w:tc>
        <w:tc>
          <w:tcPr>
            <w:tcW w:type="dxa" w:w="232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40%</w:t>
            </w:r>
          </w:p>
        </w:tc>
      </w:tr>
      <w:tr>
        <w:trPr>
          <w:tblHeader w:val="false"/>
        </w:trPr>
        <w:tc>
          <w:tcPr>
            <w:tcW w:type="dxa" w:w="332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b w:val="false"/>
                <w:bCs w:val="false"/>
                <w:sz w:val="18"/>
                <w:szCs w:val="18"/>
              </w:rPr>
              <w:t xml:space="preserve">PHEV</w:t>
            </w:r>
          </w:p>
        </w:tc>
        <w:tc>
          <w:tcPr>
            <w:tcW w:type="dxa" w:w="166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3%</w:t>
            </w:r>
          </w:p>
        </w:tc>
        <w:tc>
          <w:tcPr>
            <w:tcW w:type="dxa" w:w="232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7%</w:t>
            </w:r>
          </w:p>
        </w:tc>
        <w:tc>
          <w:tcPr>
            <w:tcW w:type="dxa" w:w="232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val="false"/>
                <w:bCs w:val="false"/>
                <w:sz w:val="18"/>
                <w:szCs w:val="18"/>
              </w:rPr>
              <w:t xml:space="preserve">10%</w:t>
            </w:r>
          </w:p>
        </w:tc>
      </w:tr>
      <w:tr>
        <w:trPr>
          <w:tblHeader w:val="false"/>
        </w:trPr>
        <w:tc>
          <w:tcPr>
            <w:tcW w:type="dxa" w:w="3323"/>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b w:val="false"/>
                <w:bCs w:val="false"/>
                <w:sz w:val="18"/>
                <w:szCs w:val="18"/>
              </w:rPr>
              <w:t xml:space="preserve">BEV</w:t>
            </w:r>
          </w:p>
        </w:tc>
        <w:tc>
          <w:tcPr>
            <w:tcW w:type="dxa" w:w="166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2%</w:t>
            </w:r>
          </w:p>
        </w:tc>
        <w:tc>
          <w:tcPr>
            <w:tcW w:type="dxa" w:w="232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10%</w:t>
            </w:r>
          </w:p>
        </w:tc>
        <w:tc>
          <w:tcPr>
            <w:tcW w:type="dxa" w:w="232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b w:val="false"/>
                <w:bCs w:val="false"/>
                <w:sz w:val="18"/>
                <w:szCs w:val="18"/>
              </w:rPr>
              <w:t xml:space="preserve">20%</w:t>
            </w:r>
          </w:p>
        </w:tc>
      </w:tr>
      <w:tr>
        <w:trPr>
          <w:tblHeader w:val="false"/>
        </w:trPr>
        <w:tc>
          <w:tcPr>
            <w:tcW w:type="dxa" w:w="332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b/>
                <w:bCs/>
                <w:sz w:val="18"/>
                <w:szCs w:val="18"/>
              </w:rPr>
              <w:t xml:space="preserve">Total elektrifikasi</w:t>
            </w:r>
          </w:p>
        </w:tc>
        <w:tc>
          <w:tcPr>
            <w:tcW w:type="dxa" w:w="166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bCs/>
                <w:sz w:val="18"/>
                <w:szCs w:val="18"/>
              </w:rPr>
              <w:t xml:space="preserve">30%</w:t>
            </w:r>
          </w:p>
        </w:tc>
        <w:tc>
          <w:tcPr>
            <w:tcW w:type="dxa" w:w="232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bCs/>
                <w:sz w:val="18"/>
                <w:szCs w:val="18"/>
              </w:rPr>
              <w:t xml:space="preserve">55%</w:t>
            </w:r>
          </w:p>
        </w:tc>
        <w:tc>
          <w:tcPr>
            <w:tcW w:type="dxa" w:w="232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b/>
                <w:bCs/>
                <w:sz w:val="18"/>
                <w:szCs w:val="18"/>
              </w:rPr>
              <w:t xml:space="preserve">70%</w:t>
            </w:r>
          </w:p>
        </w:tc>
      </w:tr>
    </w:tbl>
    <w:p>
      <w:pPr>
        <w:spacing w:after="220" w:before="40"/>
      </w:pPr>
      <w:r>
        <w:rPr>
          <w:color w:val="53656C"/>
          <w:sz w:val="17"/>
          <w:szCs w:val="17"/>
        </w:rPr>
        <w:t xml:space="preserve">Sumber: Casebook, Exhibit 8 (indikatif).</w:t>
      </w:r>
    </w:p>
    <w:p>
      <w:pPr>
        <w:pStyle w:val="Heading2"/>
      </w:pPr>
      <w:r>
        <w:t xml:space="preserve">2.2 Posisi biaya TMMIN</w:t>
      </w:r>
    </w:p>
    <w:p>
      <w:pPr>
        <w:spacing w:after="120" w:line="300"/>
      </w:pPr>
      <w:r>
        <w:t xml:space="preserve">Dalam dua tahun, indeks biaya konversi TMMIN naik dari 100 ke 106, sementara pemain baru turun dari 94 ke 89. TMMIN kini </w:t>
      </w:r>
      <w:r>
        <w:rPr>
          <w:b/>
          <w:bCs/>
        </w:rPr>
        <w:t xml:space="preserve">sekitar 19% lebih mahal per unit</w:t>
      </w:r>
      <w:r>
        <w:t xml:space="preserve">, dan selisihnya melebar rata-rata </w:t>
      </w:r>
      <w:r>
        <w:rPr>
          <w:b/>
          <w:bCs/>
        </w:rPr>
        <w:t xml:space="preserve">5,5 poin per tahun</w:t>
      </w:r>
      <w:r>
        <w:t xml:space="preserve">. Sekitar 52% pelebaran datang dari biaya TMMIN yang naik, dan 48% dari pesaing yang terus menjadi lebih murah.</w:t>
      </w:r>
    </w:p>
    <w:p>
      <w:pPr>
        <w:spacing w:after="4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200" w:before="60"/>
      </w:pPr>
      <w:r>
        <w:rPr>
          <w:i/>
          <w:iCs/>
          <w:color w:val="53656C"/>
          <w:sz w:val="18"/>
          <w:szCs w:val="18"/>
        </w:rPr>
        <w:t xml:space="preserve">Gambar 1. Selisih biaya konversi melebar setiap tahun. Sumber: Exhibit 3.</w:t>
      </w:r>
    </w:p>
    <w:p>
      <w:pPr>
        <w:pStyle w:val="Heading2"/>
      </w:pPr>
      <w:r>
        <w:t xml:space="preserve">2.3 Tiga komplikasi dari casebook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6"/>
        <w:gridCol w:w="2920"/>
        <w:gridCol w:w="4382"/>
      </w:tblGrid>
      <w:tr>
        <w:trPr>
          <w:tblHeader/>
        </w:trPr>
        <w:tc>
          <w:tcPr>
            <w:tcW w:type="dxa" w:w="233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Komplikasi</w:t>
            </w:r>
          </w:p>
        </w:tc>
        <w:tc>
          <w:tcPr>
            <w:tcW w:type="dxa" w:w="292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Inti masalah</w:t>
            </w:r>
          </w:p>
        </w:tc>
        <w:tc>
          <w:tcPr>
            <w:tcW w:type="dxa" w:w="438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Bukti (2023 → 2025)</w:t>
            </w:r>
          </w:p>
        </w:tc>
      </w:tr>
      <w:tr>
        <w:trPr>
          <w:tblHeader w:val="false"/>
        </w:trPr>
        <w:tc>
          <w:tcPr>
            <w:tcW w:type="dxa" w:w="233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 Biaya dan kualitas</w:t>
            </w:r>
          </w:p>
        </w:tc>
        <w:tc>
          <w:tcPr>
            <w:tcW w:type="dxa" w:w="292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Tidak bisa lagi mengandalkan volume</w:t>
            </w:r>
          </w:p>
        </w:tc>
        <w:tc>
          <w:tcPr>
            <w:tcW w:type="dxa" w:w="43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Indeks biaya 106 vs pemain baru 89; scrap 100 → 108; downtime 100 → 111; cacat lolos 100 → 103</w:t>
            </w:r>
          </w:p>
        </w:tc>
      </w:tr>
      <w:tr>
        <w:trPr>
          <w:tblHeader w:val="false"/>
        </w:trPr>
        <w:tc>
          <w:tcPr>
            <w:tcW w:type="dxa" w:w="233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 Fleksibilitas lini dan sumber kapabilitas</w:t>
            </w:r>
          </w:p>
        </w:tc>
        <w:tc>
          <w:tcPr>
            <w:tcW w:type="dxa" w:w="292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Lini dirancang per model; teknologi dari luar mahal dan sulit diintegrasikan</w:t>
            </w:r>
          </w:p>
        </w:tc>
        <w:tc>
          <w:tcPr>
            <w:tcW w:type="dxa" w:w="438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Modifikasi varian 8 → 9 bulan; peralatan point-to-point tanpa standar antarmuka</w:t>
            </w:r>
          </w:p>
        </w:tc>
      </w:tr>
      <w:tr>
        <w:trPr>
          <w:tblHeader w:val="false"/>
        </w:trPr>
        <w:tc>
          <w:tcPr>
            <w:tcW w:type="dxa" w:w="233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 Mindset, pengetahuan, talenta</w:t>
            </w:r>
          </w:p>
        </w:tc>
        <w:tc>
          <w:tcPr>
            <w:tcW w:type="dxa" w:w="292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Engineer sibuk rutinitas; know-how tidak dibagi</w:t>
            </w:r>
          </w:p>
        </w:tc>
        <w:tc>
          <w:tcPr>
            <w:tcW w:type="dxa" w:w="438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65% waktu engineer untuk dukungan rutin; 48% proses kritis bergantung pada 1–2 senior; 2 dari 30 engineer mahir software &amp; AI</w:t>
            </w:r>
          </w:p>
        </w:tc>
      </w:tr>
    </w:tbl>
    <w:p>
      <w:pPr>
        <w:spacing w:after="220" w:before="40"/>
      </w:pPr>
      <w:r>
        <w:rPr>
          <w:color w:val="53656C"/>
          <w:sz w:val="17"/>
          <w:szCs w:val="17"/>
        </w:rPr>
        <w:t xml:space="preserve">Sumber: Casebook; data/problem.md.</w:t>
      </w:r>
    </w:p>
    <w:p>
      <w:pPr>
        <w:pStyle w:val="Heading2"/>
      </w:pPr>
      <w:r>
        <w:t xml:space="preserve">2.4 Pertanyaan kunci dan batasan</w:t>
      </w:r>
    </w:p>
    <w:p>
      <w:pPr>
        <w:shd w:fill="EEF3F4" w:color="auto" w:val="clear"/>
        <w:spacing w:after="200" w:before="120" w:line="300"/>
        <w:ind w:left="160" w:right="160"/>
      </w:pPr>
      <w:r>
        <w:rPr>
          <w:b/>
          <w:bCs/>
        </w:rPr>
        <w:t xml:space="preserve">Pertanyaan kunci:</w:t>
      </w:r>
      <w:r>
        <w:t xml:space="preserve"> Bagaimana TMMIN dapat mendefinisikan ulang cara memproduksi pada 2026–2030 dengan menggabungkan teknologi masa depan seperti AI dengan pola pikir, keterampilan, dan pengetahuan manusia, agar tetap kompetitif dalam biaya dan kualitas di era C.A.S.E.?</w:t>
      </w:r>
    </w:p>
    <w:p>
      <w:pPr>
        <w:spacing w:after="120" w:line="300"/>
      </w:pPr>
      <w:r>
        <w:t xml:space="preserve">Batasan dari casebook:</w:t>
      </w:r>
    </w:p>
    <w:p>
      <w:pPr>
        <w:pStyle w:val="ListParagraph"/>
        <w:numPr>
          <w:ilvl w:val="0"/>
          <w:numId w:val="2"/>
        </w:numPr>
        <w:spacing w:after="60" w:line="288"/>
      </w:pPr>
      <w:r>
        <w:t xml:space="preserve">Jawaban harus mengubah </w:t>
      </w:r>
      <w:r>
        <w:rPr>
          <w:b/>
          <w:bCs/>
        </w:rPr>
        <w:t xml:space="preserve">cara manufaktur</w:t>
      </w:r>
      <w:r>
        <w:t xml:space="preserve"> (proses, cara kerja, orang, pengetahuan), bukan merekomendasikan produk atau alat.</w:t>
      </w:r>
    </w:p>
    <w:p>
      <w:pPr>
        <w:pStyle w:val="ListParagraph"/>
        <w:numPr>
          <w:ilvl w:val="0"/>
          <w:numId w:val="2"/>
        </w:numPr>
        <w:spacing w:after="60" w:line="288"/>
      </w:pPr>
      <w:r>
        <w:t xml:space="preserve">Solusi harus transformatif dan menempatkan manusia di pusat (tema M3C 2026: </w:t>
      </w:r>
      <w:r>
        <w:rPr>
          <w:i/>
          <w:iCs/>
        </w:rPr>
        <w:t xml:space="preserve">Human-Centered AI Kaizen</w:t>
      </w:r>
      <w:r>
        <w:t xml:space="preserve">).</w:t>
      </w:r>
    </w:p>
    <w:p>
      <w:pPr>
        <w:pStyle w:val="ListParagraph"/>
        <w:numPr>
          <w:ilvl w:val="0"/>
          <w:numId w:val="2"/>
        </w:numPr>
        <w:spacing w:after="60" w:line="288"/>
      </w:pPr>
      <w:r>
        <w:t xml:space="preserve">Investasi program Rp40–120 miliar; diskonto 10%; umur teknologi 5 tahun; eskalasi biaya 4% per tahun.</w:t>
      </w:r>
    </w:p>
    <w:p>
      <w:r>
        <w:br w:type="page"/>
      </w:r>
    </w:p>
    <w:p>
      <w:pPr>
        <w:pStyle w:val="Heading1"/>
      </w:pPr>
      <w:r>
        <w:t xml:space="preserve">3. Issue Tree</w:t>
      </w:r>
    </w:p>
    <w:p>
      <w:pPr>
        <w:pStyle w:val="Heading2"/>
      </w:pPr>
      <w:r>
        <w:t xml:space="preserve">3.1 Logika pemecahan</w:t>
      </w:r>
    </w:p>
    <w:p>
      <w:pPr>
        <w:spacing w:after="120" w:line="300"/>
      </w:pPr>
      <w:r>
        <w:t xml:space="preserve">Issue tree memecah pertanyaan kunci menjadi driver yang bisa diukur. Level pertama disusun MECE (tidak tumpang tindih, tidak ada celah) menurut dua sumbu:</w:t>
      </w:r>
    </w:p>
    <w:p>
      <w:pPr>
        <w:pStyle w:val="ListParagraph"/>
        <w:numPr>
          <w:ilvl w:val="0"/>
          <w:numId w:val="2"/>
        </w:numPr>
        <w:spacing w:after="60" w:line="288"/>
      </w:pPr>
      <w:r>
        <w:rPr>
          <w:b/>
          <w:bCs/>
        </w:rPr>
        <w:t xml:space="preserve">Posisi</w:t>
      </w:r>
      <w:r>
        <w:t xml:space="preserve">: biaya per unit hari ini (A), kualitas hari ini (B), dan biaya menambah varian di masa depan (C).</w:t>
      </w:r>
    </w:p>
    <w:p>
      <w:pPr>
        <w:pStyle w:val="ListParagraph"/>
        <w:numPr>
          <w:ilvl w:val="0"/>
          <w:numId w:val="2"/>
        </w:numPr>
        <w:spacing w:after="60" w:line="288"/>
      </w:pPr>
      <w:r>
        <w:rPr>
          <w:b/>
          <w:bCs/>
        </w:rPr>
        <w:t xml:space="preserve">Kecepatan</w:t>
      </w:r>
      <w:r>
        <w:t xml:space="preserve">: laju perbaikan tahunan dibanding pesaing (D).</w:t>
      </w:r>
    </w:p>
    <w:p>
      <w:pPr>
        <w:spacing w:after="120" w:line="300"/>
      </w:pPr>
      <w:r>
        <w:t xml:space="preserve">Cabang A dipecah persis mengikuti lima komponen biaya konversi di Exhibit 9 (tenaga kerja, energi, perawatan, depresiasi, scrap), sehingga tidak ada komponen yang terlewat atau terhitung dua kali. Batas A dan B: A mengukur rupiah (termasuk biaya scrap), B mengukur cacat yang lolos ke hilir.</w:t>
      </w:r>
    </w:p>
    <w:p>
      <w:pPr>
        <w:sectPr>
          <w:footerReference w:type="default" r:id="rId7"/>
          <w:pgSz w:w="11906" w:h="16838" w:orient="portrait"/>
          <w:pgMar w:top="1134" w:right="1134" w:bottom="1134" w:left="1134" w:header="708" w:footer="708" w:gutter="0"/>
          <w:pgNumType/>
          <w:docGrid w:linePitch="360"/>
        </w:sectPr>
      </w:pPr>
    </w:p>
    <w:p>
      <w:pPr>
        <w:pStyle w:val="Heading2"/>
      </w:pPr>
      <w:r>
        <w:t xml:space="preserve">3.2 Diagram issue tree</w:t>
      </w:r>
    </w:p>
    <w:p>
      <w:pPr>
        <w:spacing w:after="40" w:before="120"/>
        <w:jc w:val="center"/>
      </w:pPr>
      <w:r>
        <w:drawing>
          <wp:inline distT="0" distB="0" distL="0" distR="0">
            <wp:extent cx="81915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0" cy="5514975"/>
                    </a:xfrm>
                    <a:prstGeom prst="rect">
                      <a:avLst/>
                    </a:prstGeom>
                  </pic:spPr>
                </pic:pic>
              </a:graphicData>
            </a:graphic>
          </wp:inline>
        </w:drawing>
      </w:r>
    </w:p>
    <w:p>
      <w:pPr>
        <w:spacing w:after="200" w:before="60"/>
      </w:pPr>
      <w:r>
        <w:rPr>
          <w:i/>
          <w:iCs/>
          <w:color w:val="53656C"/>
          <w:sz w:val="18"/>
          <w:szCs w:val="18"/>
        </w:rPr>
        <w:t xml:space="preserve">Gambar 2. Issue tree: dari pertanyaan kunci ke driver terukur, dengan exhibit sumber setiap driver.</w:t>
      </w:r>
    </w:p>
    <w:p>
      <w:pPr>
        <w:sectPr>
          <w:footerReference w:type="default" r:id="rId8"/>
          <w:pgSz w:w="16838" w:h="11906" w:orient="landscape"/>
          <w:pgMar w:top="1000" w:right="1134" w:bottom="1000" w:left="1134" w:header="708" w:footer="708" w:gutter="0"/>
          <w:pgNumType/>
          <w:docGrid w:linePitch="360"/>
        </w:sectPr>
      </w:pPr>
    </w:p>
    <w:p>
      <w:pPr>
        <w:pStyle w:val="Heading2"/>
      </w:pPr>
      <w:r>
        <w:t xml:space="preserve">3.3 Driver, sumber, dan tren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3075"/>
        <w:gridCol w:w="871"/>
        <w:gridCol w:w="922"/>
        <w:gridCol w:w="1127"/>
        <w:gridCol w:w="1332"/>
        <w:gridCol w:w="1440"/>
      </w:tblGrid>
      <w:tr>
        <w:trPr>
          <w:tblHeader/>
        </w:trPr>
        <w:tc>
          <w:tcPr>
            <w:tcW w:type="dxa" w:w="871"/>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Kode</w:t>
            </w:r>
          </w:p>
        </w:tc>
        <w:tc>
          <w:tcPr>
            <w:tcW w:type="dxa" w:w="3075"/>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Driver</w:t>
            </w:r>
          </w:p>
        </w:tc>
        <w:tc>
          <w:tcPr>
            <w:tcW w:type="dxa" w:w="871"/>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Exhibit</w:t>
            </w:r>
          </w:p>
        </w:tc>
        <w:tc>
          <w:tcPr>
            <w:tcW w:type="dxa" w:w="92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2023</w:t>
            </w:r>
          </w:p>
        </w:tc>
        <w:tc>
          <w:tcPr>
            <w:tcW w:type="dxa" w:w="112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2025</w:t>
            </w:r>
          </w:p>
        </w:tc>
        <w:tc>
          <w:tcPr>
            <w:tcW w:type="dxa" w:w="133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Perubahan</w:t>
            </w:r>
          </w:p>
        </w:tc>
        <w:tc>
          <w:tcPr>
            <w:tcW w:type="dxa" w:w="144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Arah</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Indeks biaya konversi TMMIN</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100</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106</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A</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Indeks biaya pemain baru</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94</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89</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−5%</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Pesaing membaik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Selisih biaya (poin indeks)</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17</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+11 poin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Melebar 5,5/tahun</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A1</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Waktu NVA operator (% jam kerja)</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20%</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22%</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 poin</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A2</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Unplanned downtime (indeks)</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4</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100</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111</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+11%</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 terbesar</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A3</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Scrap (indeks)</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100</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108</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+8%</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A4</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Energi</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Tidak ada data</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Celah data</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A5</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Utilisasi Karawang I &amp; II</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9</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70%</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Pasar −7,2% (Ex.1)</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Tekanan eksternal</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Cacat lolos ke hilir (indeks)</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4</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100</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103</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C</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Modifikasi peralatan per varian (bulan)</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8</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9</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 bulan</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Porsi volume elektrifikasi</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8</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30% (2026)</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55–70% (2030)</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+25–40 poin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Kompleksitas naik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D1</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Waktu engineer untuk rutin &amp; troubleshooting</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62%</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65%</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 poin</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D1</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Waktu engineer untuk perbaikan</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28%</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25%</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 poin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D2</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Ide per engineer per tahun</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3,1</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2,4</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−23%</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D2</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Ide yang diimplementasikan</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35%</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28%</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−7 poin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D2</w:t>
            </w:r>
          </w:p>
        </w:tc>
        <w:tc>
          <w:tcPr>
            <w:tcW w:type="dxa" w:w="3075"/>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Ide terimplementasi per engineer (turunan)</w:t>
            </w:r>
          </w:p>
        </w:tc>
        <w:tc>
          <w:tcPr>
            <w:tcW w:type="dxa" w:w="871"/>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1,08</w:t>
            </w:r>
          </w:p>
        </w:tc>
        <w:tc>
          <w:tcPr>
            <w:tcW w:type="dxa" w:w="1127"/>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0,67</w:t>
            </w:r>
          </w:p>
        </w:tc>
        <w:tc>
          <w:tcPr>
            <w:tcW w:type="dxa" w:w="1332"/>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−38%</w:t>
            </w:r>
          </w:p>
        </w:tc>
        <w:tc>
          <w:tcPr>
            <w:tcW w:type="dxa" w:w="144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D3</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Know-how kritis terdokumentasi</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35%</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33%</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 poin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D3</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Proses kritis bergantung 1–2 senior</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45%</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48%</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 poin</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D3</w:t>
            </w:r>
          </w:p>
        </w:tc>
        <w:tc>
          <w:tcPr>
            <w:tcW w:type="dxa" w:w="307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Engineer baru hingga mandiri (bulan)</w:t>
            </w:r>
          </w:p>
        </w:tc>
        <w:tc>
          <w:tcPr>
            <w:tcW w:type="dxa" w:w="87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6A</w:t>
            </w:r>
          </w:p>
        </w:tc>
        <w:tc>
          <w:tcPr>
            <w:tcW w:type="dxa" w:w="92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14</w:t>
            </w:r>
          </w:p>
        </w:tc>
        <w:tc>
          <w:tcPr>
            <w:tcW w:type="dxa" w:w="11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15</w:t>
            </w:r>
          </w:p>
        </w:tc>
        <w:tc>
          <w:tcPr>
            <w:tcW w:type="dxa" w:w="133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 bulan</w:t>
            </w:r>
          </w:p>
        </w:tc>
        <w:tc>
          <w:tcPr>
            <w:tcW w:type="dxa" w:w="144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Memburuk</w:t>
            </w:r>
          </w:p>
        </w:tc>
      </w:tr>
      <w:tr>
        <w:trPr>
          <w:tblHeader w:val="false"/>
        </w:trPr>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D4</w:t>
            </w:r>
          </w:p>
        </w:tc>
        <w:tc>
          <w:tcPr>
            <w:tcW w:type="dxa" w:w="307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Engineer Software &amp; AI Level 3+</w:t>
            </w:r>
          </w:p>
        </w:tc>
        <w:tc>
          <w:tcPr>
            <w:tcW w:type="dxa" w:w="87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7</w:t>
            </w:r>
          </w:p>
        </w:tc>
        <w:tc>
          <w:tcPr>
            <w:tcW w:type="dxa" w:w="92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w:t>
            </w:r>
          </w:p>
        </w:tc>
        <w:tc>
          <w:tcPr>
            <w:tcW w:type="dxa" w:w="11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2/30 (7%)</w:t>
            </w:r>
          </w:p>
        </w:tc>
        <w:tc>
          <w:tcPr>
            <w:tcW w:type="dxa" w:w="133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Snapshot</w:t>
            </w:r>
          </w:p>
        </w:tc>
        <w:tc>
          <w:tcPr>
            <w:tcW w:type="dxa" w:w="144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Celah terdalam</w:t>
            </w:r>
          </w:p>
        </w:tc>
      </w:tr>
    </w:tbl>
    <w:p>
      <w:pPr>
        <w:spacing w:after="220" w:before="40"/>
      </w:pPr>
      <w:r>
        <w:rPr>
          <w:color w:val="53656C"/>
          <w:sz w:val="17"/>
          <w:szCs w:val="17"/>
        </w:rPr>
        <w:t xml:space="preserve">Sumber: Casebook Exhibit 1, 3, 4, 6A, 7, 8, 9; work/2_diagnosis.md.</w:t>
      </w:r>
    </w:p>
    <w:p>
      <w:pPr>
        <w:pStyle w:val="Heading2"/>
      </w:pPr>
      <w:r>
        <w:t xml:space="preserve">3.4 Tiga temuan dari issue tree</w:t>
      </w:r>
    </w:p>
    <w:p>
      <w:pPr>
        <w:pStyle w:val="ListParagraph"/>
        <w:numPr>
          <w:ilvl w:val="0"/>
          <w:numId w:val="3"/>
        </w:numPr>
        <w:spacing w:after="60" w:line="288"/>
      </w:pPr>
      <w:r>
        <w:rPr>
          <w:b/>
          <w:bCs/>
        </w:rPr>
        <w:t xml:space="preserve">Masalahnya kecepatan, bukan hanya posisi.</w:t>
      </w:r>
      <w:r>
        <w:t xml:space="preserve"> Selisih biaya melebar 6 → 12 → 17 poin. Bila tren berlanjut lurus, pemain baru berada di sekitar indeks 76 pada 2030 (ilustrasi ekstrapolasi, bukan prediksi).</w:t>
      </w:r>
    </w:p>
    <w:p>
      <w:pPr>
        <w:pStyle w:val="ListParagraph"/>
        <w:numPr>
          <w:ilvl w:val="0"/>
          <w:numId w:val="3"/>
        </w:numPr>
        <w:spacing w:after="60" w:line="288"/>
      </w:pPr>
      <w:r>
        <w:rPr>
          <w:b/>
          <w:bCs/>
        </w:rPr>
        <w:t xml:space="preserve">Kembali ke kinerja 2023 tidak cukup.</w:t>
      </w:r>
      <w:r>
        <w:t xml:space="preserve"> Kenaikan scrap, waktu NVA, dan downtime hanya menjelaskan 1,8–3,3 poin dari selisih 17 poin (11–19%). Sisanya struktural: eskalasi upah dan energi saja menyumbang sekitar 4,2 poin.</w:t>
      </w:r>
    </w:p>
    <w:p>
      <w:pPr>
        <w:pStyle w:val="ListParagraph"/>
        <w:numPr>
          <w:ilvl w:val="0"/>
          <w:numId w:val="3"/>
        </w:numPr>
        <w:spacing w:after="60" w:line="288"/>
      </w:pPr>
      <w:r>
        <w:rPr>
          <w:b/>
          <w:bCs/>
        </w:rPr>
        <w:t xml:space="preserve">Mesin perbaikan melemah.</w:t>
      </w:r>
      <w:r>
        <w:t xml:space="preserve"> Ide yang benar-benar diimplementasikan per engineer turun dari 1,08 ke 0,67 per tahun (−38%), padahal waktu untuk perbaikan hanya turun 11% (28% → 25%). Setiap jam perbaikan juga makin sedikit hasilnya.</w:t>
      </w:r>
    </w:p>
    <w:p>
      <w:pPr>
        <w:spacing w:after="40" w:before="12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95550"/>
                    </a:xfrm>
                    <a:prstGeom prst="rect">
                      <a:avLst/>
                    </a:prstGeom>
                  </pic:spPr>
                </pic:pic>
              </a:graphicData>
            </a:graphic>
          </wp:inline>
        </w:drawing>
      </w:r>
    </w:p>
    <w:p>
      <w:pPr>
        <w:spacing w:after="200" w:before="60"/>
      </w:pPr>
      <w:r>
        <w:rPr>
          <w:i/>
          <w:iCs/>
          <w:color w:val="53656C"/>
          <w:sz w:val="18"/>
          <w:szCs w:val="18"/>
        </w:rPr>
        <w:t xml:space="preserve">Gambar 3. Jembatan kenaikan indeks 100 → 106. Porsi komponen biaya konversi adalah asumsi tim (tenaga kerja 40%, energi 12%, perawatan 13%, depresiasi 25%, scrap 10%), karena casebook hanya menyebut komponennya.</w:t>
      </w:r>
    </w:p>
    <w:p>
      <w:r>
        <w:br w:type="page"/>
      </w:r>
    </w:p>
    <w:p>
      <w:pPr>
        <w:pStyle w:val="Heading1"/>
      </w:pPr>
      <w:r>
        <w:t xml:space="preserve">4. Gap Analysis</w:t>
      </w:r>
    </w:p>
    <w:p>
      <w:pPr>
        <w:pStyle w:val="Heading2"/>
      </w:pPr>
      <w:r>
        <w:t xml:space="preserve">4.1 Kerangka</w:t>
      </w:r>
    </w:p>
    <w:p>
      <w:pPr>
        <w:spacing w:after="120" w:line="300"/>
      </w:pPr>
      <w:r>
        <w:t xml:space="preserve">Gap analysis membandingkan </w:t>
      </w:r>
      <w:r>
        <w:rPr>
          <w:b/>
          <w:bCs/>
        </w:rPr>
        <w:t xml:space="preserve">kondisi saat ini</w:t>
      </w:r>
      <w:r>
        <w:t xml:space="preserve"> (2025, dari exhibit) dengan </w:t>
      </w:r>
      <w:r>
        <w:rPr>
          <w:b/>
          <w:bCs/>
        </w:rPr>
        <w:t xml:space="preserve">titik acuan</w:t>
      </w:r>
      <w:r>
        <w:t xml:space="preserve"> yang bisa dipertanggungjawabkan: kinerja pesaing, kinerja TMMIN sendiri pada 2023, atau level maturitas tertinggi. Kolom target 2030 menunjukkan seberapa jauh celah realistis bisa ditutup menurut model system dynamics tim, dibanding jalur tanpa tindakan.</w:t>
      </w:r>
    </w:p>
    <w:p>
      <w:pPr>
        <w:pStyle w:val="Heading2"/>
      </w:pPr>
      <w:r>
        <w:t xml:space="preserve">4.2 Celah per dimensi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6"/>
        <w:gridCol w:w="1907"/>
        <w:gridCol w:w="1204"/>
        <w:gridCol w:w="1807"/>
        <w:gridCol w:w="2108"/>
        <w:gridCol w:w="1056"/>
      </w:tblGrid>
      <w:tr>
        <w:trPr>
          <w:tblHeader/>
        </w:trPr>
        <w:tc>
          <w:tcPr>
            <w:tcW w:type="dxa" w:w="155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Dimensi</w:t>
            </w:r>
          </w:p>
        </w:tc>
        <w:tc>
          <w:tcPr>
            <w:tcW w:type="dxa" w:w="190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Indikator</w:t>
            </w:r>
          </w:p>
        </w:tc>
        <w:tc>
          <w:tcPr>
            <w:tcW w:type="dxa" w:w="1204"/>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Saat ini (2025)</w:t>
            </w:r>
          </w:p>
        </w:tc>
        <w:tc>
          <w:tcPr>
            <w:tcW w:type="dxa" w:w="180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Titik acuan</w:t>
            </w:r>
          </w:p>
        </w:tc>
        <w:tc>
          <w:tcPr>
            <w:tcW w:type="dxa" w:w="2108"/>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Target 2030 (model)</w:t>
            </w:r>
          </w:p>
        </w:tc>
        <w:tc>
          <w:tcPr>
            <w:tcW w:type="dxa" w:w="105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Prioritas</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Biaya</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Indeks biaya konversi</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106 (Ex.3)</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89, pemain baru 2025, dan masih turun</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 101 pada harga konstan 2025 (tanpa tindakan 113,9)</w:t>
            </w:r>
          </w:p>
        </w:tc>
        <w:tc>
          <w:tcPr>
            <w:tcW w:type="dxa" w:w="10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left"/>
            </w:pPr>
            <w:r>
              <w:rPr>
                <w:sz w:val="18"/>
                <w:szCs w:val="18"/>
              </w:rPr>
              <w:t xml:space="preserve">Sangat 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Kualitas</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Indeks scrap</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108 (Ex.4)</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100, level 2023</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78</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Kualitas</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Cacat lolos ke hilir</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103 (Ex.4)</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100, level 2023</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73</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Keandalan</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Unplanned downtime</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111 (Ex.4)</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100, level 2023</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90</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Fleksibilitas</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Bulan modifikasi per varian</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9 (Ex.4)</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8, level 2023</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7,2 (tanpa tindakan 10,4)</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Integrasi</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Level integrasi data dan peralatan</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Level 1–2 (Ex.5)</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Level 4</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Standar data di 75% proses</w:t>
            </w:r>
          </w:p>
        </w:tc>
        <w:tc>
          <w:tcPr>
            <w:tcW w:type="dxa" w:w="10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left"/>
            </w:pPr>
            <w:r>
              <w:rPr>
                <w:sz w:val="18"/>
                <w:szCs w:val="18"/>
              </w:rPr>
              <w:t xml:space="preserve">Sangat tinggi</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Orang</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Waktu engineer untuk perbaikan</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25% (Ex.6A)</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28%, level 2023</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41%</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Pengetahuan</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Know-how kritis terdokumentasi</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33% (Ex.6A)</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35%, level 2023</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64%</w:t>
            </w:r>
          </w:p>
        </w:tc>
        <w:tc>
          <w:tcPr>
            <w:tcW w:type="dxa" w:w="10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Sedang</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Pengetahuan</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Proses bergantung 1–2 senior</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48% (Ex.6A)</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45%, level 2023</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26%</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Kapabilitas digital</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Engineer Software &amp; AI L3+</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2/30 (Ex.7)</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19/30, setara mechanical</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13,6</w:t>
            </w:r>
          </w:p>
        </w:tc>
        <w:tc>
          <w:tcPr>
            <w:tcW w:type="dxa" w:w="10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left"/>
            </w:pPr>
            <w:r>
              <w:rPr>
                <w:sz w:val="18"/>
                <w:szCs w:val="18"/>
              </w:rPr>
              <w:t xml:space="preserve">Sangat tinggi</w:t>
            </w:r>
          </w:p>
        </w:tc>
      </w:tr>
      <w:tr>
        <w:trPr>
          <w:tblHeader w:val="false"/>
        </w:trPr>
        <w:tc>
          <w:tcPr>
            <w:tcW w:type="dxa" w:w="155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Adopsi</w:t>
            </w:r>
          </w:p>
        </w:tc>
        <w:tc>
          <w:tcPr>
            <w:tcW w:type="dxa" w:w="19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Operator yang mengabaikan alert</w:t>
            </w:r>
          </w:p>
        </w:tc>
        <w:tc>
          <w:tcPr>
            <w:tcW w:type="dxa" w:w="12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31% (Ex.6B)</w:t>
            </w:r>
          </w:p>
        </w:tc>
        <w:tc>
          <w:tcPr>
            <w:tcW w:type="dxa" w:w="18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Mendekati 0%</w:t>
            </w:r>
          </w:p>
        </w:tc>
        <w:tc>
          <w:tcPr>
            <w:tcW w:type="dxa" w:w="2108"/>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10%</w:t>
            </w:r>
          </w:p>
        </w:tc>
        <w:tc>
          <w:tcPr>
            <w:tcW w:type="dxa" w:w="105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Tinggi</w:t>
            </w:r>
          </w:p>
        </w:tc>
      </w:tr>
      <w:tr>
        <w:trPr>
          <w:tblHeader w:val="false"/>
        </w:trPr>
        <w:tc>
          <w:tcPr>
            <w:tcW w:type="dxa" w:w="155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Perbaikan</w:t>
            </w:r>
          </w:p>
        </w:tc>
        <w:tc>
          <w:tcPr>
            <w:tcW w:type="dxa" w:w="19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Ide terimplementasi per engineer</w:t>
            </w:r>
          </w:p>
        </w:tc>
        <w:tc>
          <w:tcPr>
            <w:tcW w:type="dxa" w:w="12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0,67 (Ex.6A)</w:t>
            </w:r>
          </w:p>
        </w:tc>
        <w:tc>
          <w:tcPr>
            <w:tcW w:type="dxa" w:w="18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1,08, level 2023</w:t>
            </w:r>
          </w:p>
        </w:tc>
        <w:tc>
          <w:tcPr>
            <w:tcW w:type="dxa" w:w="2108"/>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 2,4</w:t>
            </w:r>
          </w:p>
        </w:tc>
        <w:tc>
          <w:tcPr>
            <w:tcW w:type="dxa" w:w="10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left"/>
            </w:pPr>
            <w:r>
              <w:rPr>
                <w:sz w:val="18"/>
                <w:szCs w:val="18"/>
              </w:rPr>
              <w:t xml:space="preserve">Sangat tinggi</w:t>
            </w:r>
          </w:p>
        </w:tc>
      </w:tr>
    </w:tbl>
    <w:p>
      <w:pPr>
        <w:spacing w:after="220" w:before="40"/>
      </w:pPr>
      <w:r>
        <w:rPr>
          <w:color w:val="53656C"/>
          <w:sz w:val="17"/>
          <w:szCs w:val="17"/>
        </w:rPr>
        <w:t xml:space="preserve">Sumber: Casebook Exhibit 3–7; target 2030 dari model/sd_model.py (skenario Closed-Loop Kaizen v2), lihat work/7_kpis.md.</w:t>
      </w:r>
    </w:p>
    <w:p>
      <w:pPr>
        <w:pStyle w:val="Heading2"/>
      </w:pPr>
      <w:r>
        <w:t xml:space="preserve">4.3 Heat map: proses × dampak × celah maturitas</w:t>
      </w:r>
    </w:p>
    <w:p>
      <w:pPr>
        <w:spacing w:after="120" w:line="300"/>
      </w:pPr>
      <w:r>
        <w:t xml:space="preserve">Setiap proses dinilai dampaknya terhadap biaya, kualitas, dan fleksibilitas (1 = rendah, 3 = tinggi; penilaian tim), lalu dikalikan celah maturitasnya. Skor = (biaya + kualitas + fleksibilitas) × (4 − level). Untuk menguji ketahanan, skor dihitung ulang dengan 27 kombinasi bobot.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570"/>
        <w:gridCol w:w="749"/>
        <w:gridCol w:w="803"/>
        <w:gridCol w:w="1017"/>
        <w:gridCol w:w="856"/>
        <w:gridCol w:w="1124"/>
        <w:gridCol w:w="696"/>
        <w:gridCol w:w="1342"/>
      </w:tblGrid>
      <w:tr>
        <w:trPr>
          <w:tblHeader/>
        </w:trPr>
        <w:tc>
          <w:tcPr>
            <w:tcW w:type="dxa" w:w="481"/>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w:t>
            </w:r>
          </w:p>
        </w:tc>
        <w:tc>
          <w:tcPr>
            <w:tcW w:type="dxa" w:w="257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Proses</w:t>
            </w:r>
          </w:p>
        </w:tc>
        <w:tc>
          <w:tcPr>
            <w:tcW w:type="dxa" w:w="74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Level</w:t>
            </w:r>
          </w:p>
        </w:tc>
        <w:tc>
          <w:tcPr>
            <w:tcW w:type="dxa" w:w="803"/>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Biaya</w:t>
            </w:r>
          </w:p>
        </w:tc>
        <w:tc>
          <w:tcPr>
            <w:tcW w:type="dxa" w:w="101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Kualitas</w:t>
            </w:r>
          </w:p>
        </w:tc>
        <w:tc>
          <w:tcPr>
            <w:tcW w:type="dxa" w:w="85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Fleks.</w:t>
            </w:r>
          </w:p>
        </w:tc>
        <w:tc>
          <w:tcPr>
            <w:tcW w:type="dxa" w:w="1124"/>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Celah (4 − level)</w:t>
            </w:r>
          </w:p>
        </w:tc>
        <w:tc>
          <w:tcPr>
            <w:tcW w:type="dxa" w:w="69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Skor</w:t>
            </w:r>
          </w:p>
        </w:tc>
        <w:tc>
          <w:tcPr>
            <w:tcW w:type="dxa" w:w="134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Tiga besar /27 bobot</w:t>
            </w:r>
          </w:p>
        </w:tc>
      </w:tr>
      <w:tr>
        <w:trPr>
          <w:tblHeader w:val="false"/>
        </w:trPr>
        <w:tc>
          <w:tcPr>
            <w:tcW w:type="dxa" w:w="481"/>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1</w:t>
            </w:r>
          </w:p>
        </w:tc>
        <w:tc>
          <w:tcPr>
            <w:tcW w:type="dxa" w:w="257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Quality inspection</w:t>
            </w:r>
          </w:p>
        </w:tc>
        <w:tc>
          <w:tcPr>
            <w:tcW w:type="dxa" w:w="749"/>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1</w:t>
            </w:r>
          </w:p>
        </w:tc>
        <w:tc>
          <w:tcPr>
            <w:tcW w:type="dxa" w:w="803"/>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017"/>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856"/>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124"/>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3</w:t>
            </w:r>
          </w:p>
        </w:tc>
        <w:tc>
          <w:tcPr>
            <w:tcW w:type="dxa" w:w="69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21</w:t>
            </w:r>
          </w:p>
        </w:tc>
        <w:tc>
          <w:tcPr>
            <w:tcW w:type="dxa" w:w="1342"/>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27/27</w:t>
            </w:r>
          </w:p>
        </w:tc>
      </w:tr>
      <w:tr>
        <w:trPr>
          <w:tblHeader w:val="false"/>
        </w:trPr>
        <w:tc>
          <w:tcPr>
            <w:tcW w:type="dxa" w:w="481"/>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2</w:t>
            </w:r>
          </w:p>
        </w:tc>
        <w:tc>
          <w:tcPr>
            <w:tcW w:type="dxa" w:w="2570"/>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left"/>
            </w:pPr>
            <w:r>
              <w:rPr>
                <w:sz w:val="18"/>
                <w:szCs w:val="18"/>
              </w:rPr>
              <w:t xml:space="preserve">Data integration</w:t>
            </w:r>
          </w:p>
        </w:tc>
        <w:tc>
          <w:tcPr>
            <w:tcW w:type="dxa" w:w="749"/>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1</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856"/>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124"/>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3</w:t>
            </w:r>
          </w:p>
        </w:tc>
        <w:tc>
          <w:tcPr>
            <w:tcW w:type="dxa" w:w="696"/>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21</w:t>
            </w:r>
          </w:p>
        </w:tc>
        <w:tc>
          <w:tcPr>
            <w:tcW w:type="dxa" w:w="1342"/>
            <w:tcBorders>
              <w:top w:val="single" w:color="D5DFE1" w:sz="4"/>
              <w:left w:val="single" w:color="D5DFE1" w:sz="4"/>
              <w:bottom w:val="single" w:color="D5DFE1" w:sz="4"/>
              <w:right w:val="single" w:color="D5DFE1" w:sz="4"/>
            </w:tcBorders>
            <w:shd w:fill="FDF1CF" w:color="auto" w:val="clear"/>
            <w:tcMar>
              <w:top w:type="dxa" w:w="60"/>
              <w:left w:type="dxa" w:w="90"/>
              <w:bottom w:type="dxa" w:w="60"/>
              <w:right w:type="dxa" w:w="90"/>
            </w:tcMar>
            <w:vAlign w:val="center"/>
          </w:tcPr>
          <w:p>
            <w:pPr>
              <w:jc w:val="right"/>
            </w:pPr>
            <w:r>
              <w:rPr>
                <w:sz w:val="18"/>
                <w:szCs w:val="18"/>
              </w:rPr>
              <w:t xml:space="preserve">27/27</w:t>
            </w:r>
          </w:p>
        </w:tc>
      </w:tr>
      <w:tr>
        <w:trPr>
          <w:tblHeader w:val="false"/>
        </w:trPr>
        <w:tc>
          <w:tcPr>
            <w:tcW w:type="dxa" w:w="48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w:t>
            </w:r>
          </w:p>
        </w:tc>
        <w:tc>
          <w:tcPr>
            <w:tcW w:type="dxa" w:w="25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Final assembly</w:t>
            </w:r>
          </w:p>
        </w:tc>
        <w:tc>
          <w:tcPr>
            <w:tcW w:type="dxa" w:w="74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017"/>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856"/>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12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16</w:t>
            </w:r>
          </w:p>
        </w:tc>
        <w:tc>
          <w:tcPr>
            <w:tcW w:type="dxa" w:w="134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21/27</w:t>
            </w:r>
          </w:p>
        </w:tc>
      </w:tr>
      <w:tr>
        <w:trPr>
          <w:tblHeader w:val="false"/>
        </w:trPr>
        <w:tc>
          <w:tcPr>
            <w:tcW w:type="dxa" w:w="48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4</w:t>
            </w:r>
          </w:p>
        </w:tc>
        <w:tc>
          <w:tcPr>
            <w:tcW w:type="dxa" w:w="25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Sealer</w:t>
            </w:r>
          </w:p>
        </w:tc>
        <w:tc>
          <w:tcPr>
            <w:tcW w:type="dxa" w:w="74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017"/>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856"/>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12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14</w:t>
            </w:r>
          </w:p>
        </w:tc>
        <w:tc>
          <w:tcPr>
            <w:tcW w:type="dxa" w:w="134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6/27</w:t>
            </w:r>
          </w:p>
        </w:tc>
      </w:tr>
      <w:tr>
        <w:trPr>
          <w:tblHeader w:val="false"/>
        </w:trPr>
        <w:tc>
          <w:tcPr>
            <w:tcW w:type="dxa" w:w="48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5</w:t>
            </w:r>
          </w:p>
        </w:tc>
        <w:tc>
          <w:tcPr>
            <w:tcW w:type="dxa" w:w="25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Intralogistics</w:t>
            </w:r>
          </w:p>
        </w:tc>
        <w:tc>
          <w:tcPr>
            <w:tcW w:type="dxa" w:w="74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017"/>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8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12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12</w:t>
            </w:r>
          </w:p>
        </w:tc>
        <w:tc>
          <w:tcPr>
            <w:tcW w:type="dxa" w:w="134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6</w:t>
            </w:r>
          </w:p>
        </w:tc>
        <w:tc>
          <w:tcPr>
            <w:tcW w:type="dxa" w:w="25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Equipment &amp; system integr.</w:t>
            </w:r>
          </w:p>
        </w:tc>
        <w:tc>
          <w:tcPr>
            <w:tcW w:type="dxa" w:w="74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856"/>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12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12</w:t>
            </w:r>
          </w:p>
        </w:tc>
        <w:tc>
          <w:tcPr>
            <w:tcW w:type="dxa" w:w="134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7</w:t>
            </w:r>
          </w:p>
        </w:tc>
        <w:tc>
          <w:tcPr>
            <w:tcW w:type="dxa" w:w="25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Casting</w:t>
            </w:r>
          </w:p>
        </w:tc>
        <w:tc>
          <w:tcPr>
            <w:tcW w:type="dxa" w:w="74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856"/>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12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10</w:t>
            </w:r>
          </w:p>
        </w:tc>
        <w:tc>
          <w:tcPr>
            <w:tcW w:type="dxa" w:w="134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8</w:t>
            </w:r>
          </w:p>
        </w:tc>
        <w:tc>
          <w:tcPr>
            <w:tcW w:type="dxa" w:w="25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Maintenance</w:t>
            </w:r>
          </w:p>
        </w:tc>
        <w:tc>
          <w:tcPr>
            <w:tcW w:type="dxa" w:w="74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803"/>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1017"/>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856"/>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12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w:t>
            </w:r>
          </w:p>
        </w:tc>
        <w:tc>
          <w:tcPr>
            <w:tcW w:type="dxa" w:w="69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10</w:t>
            </w:r>
          </w:p>
        </w:tc>
        <w:tc>
          <w:tcPr>
            <w:tcW w:type="dxa" w:w="134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9</w:t>
            </w:r>
          </w:p>
        </w:tc>
        <w:tc>
          <w:tcPr>
            <w:tcW w:type="dxa" w:w="25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Press shop</w:t>
            </w:r>
          </w:p>
        </w:tc>
        <w:tc>
          <w:tcPr>
            <w:tcW w:type="dxa" w:w="74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8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12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w:t>
            </w:r>
          </w:p>
        </w:tc>
        <w:tc>
          <w:tcPr>
            <w:tcW w:type="dxa" w:w="69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6</w:t>
            </w:r>
          </w:p>
        </w:tc>
        <w:tc>
          <w:tcPr>
            <w:tcW w:type="dxa" w:w="134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10</w:t>
            </w:r>
          </w:p>
        </w:tc>
        <w:tc>
          <w:tcPr>
            <w:tcW w:type="dxa" w:w="25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Machining &amp; engine assembly</w:t>
            </w:r>
          </w:p>
        </w:tc>
        <w:tc>
          <w:tcPr>
            <w:tcW w:type="dxa" w:w="74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3</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8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12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w:t>
            </w:r>
          </w:p>
        </w:tc>
        <w:tc>
          <w:tcPr>
            <w:tcW w:type="dxa" w:w="69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6</w:t>
            </w:r>
          </w:p>
        </w:tc>
        <w:tc>
          <w:tcPr>
            <w:tcW w:type="dxa" w:w="134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11</w:t>
            </w:r>
          </w:p>
        </w:tc>
        <w:tc>
          <w:tcPr>
            <w:tcW w:type="dxa" w:w="257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Painting</w:t>
            </w:r>
          </w:p>
        </w:tc>
        <w:tc>
          <w:tcPr>
            <w:tcW w:type="dxa" w:w="74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w:t>
            </w:r>
          </w:p>
        </w:tc>
        <w:tc>
          <w:tcPr>
            <w:tcW w:type="dxa" w:w="803"/>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017"/>
            <w:tcBorders>
              <w:top w:val="single" w:color="D5DFE1" w:sz="4"/>
              <w:left w:val="single" w:color="D5DFE1" w:sz="4"/>
              <w:bottom w:val="single" w:color="D5DFE1" w:sz="4"/>
              <w:right w:val="single" w:color="D5DFE1" w:sz="4"/>
            </w:tcBorders>
            <w:shd w:fill="EFA27C" w:color="auto" w:val="clear"/>
            <w:tcMar>
              <w:top w:type="dxa" w:w="60"/>
              <w:left w:type="dxa" w:w="90"/>
              <w:bottom w:type="dxa" w:w="60"/>
              <w:right w:type="dxa" w:w="90"/>
            </w:tcMar>
            <w:vAlign w:val="center"/>
          </w:tcPr>
          <w:p>
            <w:pPr>
              <w:jc w:val="right"/>
            </w:pPr>
            <w:r>
              <w:rPr>
                <w:sz w:val="18"/>
                <w:szCs w:val="18"/>
              </w:rPr>
              <w:t xml:space="preserve">3</w:t>
            </w:r>
          </w:p>
        </w:tc>
        <w:tc>
          <w:tcPr>
            <w:tcW w:type="dxa" w:w="856"/>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12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1</w:t>
            </w:r>
          </w:p>
        </w:tc>
        <w:tc>
          <w:tcPr>
            <w:tcW w:type="dxa" w:w="69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6</w:t>
            </w:r>
          </w:p>
        </w:tc>
        <w:tc>
          <w:tcPr>
            <w:tcW w:type="dxa" w:w="134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0/27</w:t>
            </w:r>
          </w:p>
        </w:tc>
      </w:tr>
      <w:tr>
        <w:trPr>
          <w:tblHeader w:val="false"/>
        </w:trPr>
        <w:tc>
          <w:tcPr>
            <w:tcW w:type="dxa" w:w="48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12</w:t>
            </w:r>
          </w:p>
        </w:tc>
        <w:tc>
          <w:tcPr>
            <w:tcW w:type="dxa" w:w="257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Spot welding</w:t>
            </w:r>
          </w:p>
        </w:tc>
        <w:tc>
          <w:tcPr>
            <w:tcW w:type="dxa" w:w="74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3</w:t>
            </w:r>
          </w:p>
        </w:tc>
        <w:tc>
          <w:tcPr>
            <w:tcW w:type="dxa" w:w="803"/>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1017"/>
            <w:tcBorders>
              <w:top w:val="single" w:color="D5DFE1" w:sz="4"/>
              <w:left w:val="single" w:color="D5DFE1" w:sz="4"/>
              <w:bottom w:val="single" w:color="D5DFE1" w:sz="4"/>
              <w:right w:val="single" w:color="D5DFE1" w:sz="4"/>
            </w:tcBorders>
            <w:shd w:fill="F3F6F6" w:color="auto" w:val="clear"/>
            <w:tcMar>
              <w:top w:type="dxa" w:w="60"/>
              <w:left w:type="dxa" w:w="90"/>
              <w:bottom w:type="dxa" w:w="60"/>
              <w:right w:type="dxa" w:w="90"/>
            </w:tcMar>
            <w:vAlign w:val="center"/>
          </w:tcPr>
          <w:p>
            <w:pPr>
              <w:jc w:val="right"/>
            </w:pPr>
            <w:r>
              <w:rPr>
                <w:sz w:val="18"/>
                <w:szCs w:val="18"/>
              </w:rPr>
              <w:t xml:space="preserve">1</w:t>
            </w:r>
          </w:p>
        </w:tc>
        <w:tc>
          <w:tcPr>
            <w:tcW w:type="dxa" w:w="856"/>
            <w:tcBorders>
              <w:top w:val="single" w:color="D5DFE1" w:sz="4"/>
              <w:left w:val="single" w:color="D5DFE1" w:sz="4"/>
              <w:bottom w:val="single" w:color="D5DFE1" w:sz="4"/>
              <w:right w:val="single" w:color="D5DFE1" w:sz="4"/>
            </w:tcBorders>
            <w:shd w:fill="F9DCC8" w:color="auto" w:val="clear"/>
            <w:tcMar>
              <w:top w:type="dxa" w:w="60"/>
              <w:left w:type="dxa" w:w="90"/>
              <w:bottom w:type="dxa" w:w="60"/>
              <w:right w:type="dxa" w:w="90"/>
            </w:tcMar>
            <w:vAlign w:val="center"/>
          </w:tcPr>
          <w:p>
            <w:pPr>
              <w:jc w:val="right"/>
            </w:pPr>
            <w:r>
              <w:rPr>
                <w:sz w:val="18"/>
                <w:szCs w:val="18"/>
              </w:rPr>
              <w:t xml:space="preserve">2</w:t>
            </w:r>
          </w:p>
        </w:tc>
        <w:tc>
          <w:tcPr>
            <w:tcW w:type="dxa" w:w="112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1</w:t>
            </w:r>
          </w:p>
        </w:tc>
        <w:tc>
          <w:tcPr>
            <w:tcW w:type="dxa" w:w="69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4</w:t>
            </w:r>
          </w:p>
        </w:tc>
        <w:tc>
          <w:tcPr>
            <w:tcW w:type="dxa" w:w="134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0/27</w:t>
            </w:r>
          </w:p>
        </w:tc>
      </w:tr>
    </w:tbl>
    <w:p>
      <w:pPr>
        <w:spacing w:after="220" w:before="40"/>
      </w:pPr>
      <w:r>
        <w:rPr>
          <w:color w:val="53656C"/>
          <w:sz w:val="17"/>
          <w:szCs w:val="17"/>
        </w:rPr>
        <w:t xml:space="preserve">Sumber: Casebook Exhibit 5; work/2_diagnosis_calc.py. Baris berwarna: dua proses yang masuk tiga besar di 27 dari 27 kombinasi bobot.</w:t>
      </w:r>
    </w:p>
    <w:p>
      <w:pPr>
        <w:spacing w:after="120" w:line="300"/>
      </w:pPr>
      <w:r>
        <w:rPr>
          <w:b/>
          <w:bCs/>
        </w:rPr>
        <w:t xml:space="preserve">Bacaan:</w:t>
      </w:r>
      <w:r>
        <w:t xml:space="preserve"> dua fungsi teratas bukan proses produksi. Keduanya adalah titik temu tempat sinyal kualitas seharusnya berbalik ke hulu (inspeksi) dan tempat data seharusnya mengalir antarproses (integrasi data). Ini mengonfirmasi bahwa celah terbesar ada </w:t>
      </w:r>
      <w:r>
        <w:rPr>
          <w:b/>
          <w:bCs/>
        </w:rPr>
        <w:t xml:space="preserve">di antara proses</w:t>
      </w:r>
      <w:r>
        <w:t xml:space="preserve">.</w:t>
      </w:r>
    </w:p>
    <w:p>
      <w:pPr>
        <w:pStyle w:val="Heading2"/>
      </w:pPr>
      <w:r>
        <w:t xml:space="preserve">4.4 Celah di antara proses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63"/>
        <w:gridCol w:w="1376"/>
        <w:gridCol w:w="3099"/>
      </w:tblGrid>
      <w:tr>
        <w:trPr>
          <w:tblHeader/>
        </w:trPr>
        <w:tc>
          <w:tcPr>
            <w:tcW w:type="dxa" w:w="5163"/>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Mata rantai</w:t>
            </w:r>
          </w:p>
        </w:tc>
        <w:tc>
          <w:tcPr>
            <w:tcW w:type="dxa" w:w="137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Skor</w:t>
            </w:r>
          </w:p>
        </w:tc>
        <w:tc>
          <w:tcPr>
            <w:tcW w:type="dxa" w:w="309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Loop yang terbuka</w:t>
            </w:r>
          </w:p>
        </w:tc>
      </w:tr>
      <w:tr>
        <w:trPr>
          <w:tblHeader w:val="false"/>
        </w:trPr>
        <w:tc>
          <w:tcPr>
            <w:tcW w:type="dxa" w:w="516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Final assembly → inspeksi</w:t>
            </w:r>
          </w:p>
        </w:tc>
        <w:tc>
          <w:tcPr>
            <w:tcW w:type="dxa" w:w="13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37</w:t>
            </w:r>
          </w:p>
        </w:tc>
        <w:tc>
          <w:tcPr>
            <w:tcW w:type="dxa" w:w="309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Kualitas</w:t>
            </w:r>
          </w:p>
        </w:tc>
      </w:tr>
      <w:tr>
        <w:trPr>
          <w:tblHeader w:val="false"/>
        </w:trPr>
        <w:tc>
          <w:tcPr>
            <w:tcW w:type="dxa" w:w="5163"/>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Sealer → inspeksi</w:t>
            </w:r>
          </w:p>
        </w:tc>
        <w:tc>
          <w:tcPr>
            <w:tcW w:type="dxa" w:w="137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35</w:t>
            </w:r>
          </w:p>
        </w:tc>
        <w:tc>
          <w:tcPr>
            <w:tcW w:type="dxa" w:w="309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Kualitas</w:t>
            </w:r>
          </w:p>
        </w:tc>
      </w:tr>
      <w:tr>
        <w:trPr>
          <w:tblHeader w:val="false"/>
        </w:trPr>
        <w:tc>
          <w:tcPr>
            <w:tcW w:type="dxa" w:w="516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Equipment integration → data integration</w:t>
            </w:r>
          </w:p>
        </w:tc>
        <w:tc>
          <w:tcPr>
            <w:tcW w:type="dxa" w:w="13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33</w:t>
            </w:r>
          </w:p>
        </w:tc>
        <w:tc>
          <w:tcPr>
            <w:tcW w:type="dxa" w:w="309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Data &amp; peralatan</w:t>
            </w:r>
          </w:p>
        </w:tc>
      </w:tr>
      <w:tr>
        <w:trPr>
          <w:tblHeader w:val="false"/>
        </w:trPr>
        <w:tc>
          <w:tcPr>
            <w:tcW w:type="dxa" w:w="5163"/>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Maintenance → data integration</w:t>
            </w:r>
          </w:p>
        </w:tc>
        <w:tc>
          <w:tcPr>
            <w:tcW w:type="dxa" w:w="137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31</w:t>
            </w:r>
          </w:p>
        </w:tc>
        <w:tc>
          <w:tcPr>
            <w:tcW w:type="dxa" w:w="309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Data &amp; peralatan</w:t>
            </w:r>
          </w:p>
        </w:tc>
      </w:tr>
      <w:tr>
        <w:trPr>
          <w:tblHeader w:val="false"/>
        </w:trPr>
        <w:tc>
          <w:tcPr>
            <w:tcW w:type="dxa" w:w="5163"/>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Intralogistics → final assembly</w:t>
            </w:r>
          </w:p>
        </w:tc>
        <w:tc>
          <w:tcPr>
            <w:tcW w:type="dxa" w:w="13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right"/>
            </w:pPr>
            <w:r>
              <w:rPr>
                <w:sz w:val="18"/>
                <w:szCs w:val="18"/>
              </w:rPr>
              <w:t xml:space="preserve">28</w:t>
            </w:r>
          </w:p>
        </w:tc>
        <w:tc>
          <w:tcPr>
            <w:tcW w:type="dxa" w:w="309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Aliran material</w:t>
            </w:r>
          </w:p>
        </w:tc>
      </w:tr>
      <w:tr>
        <w:trPr>
          <w:tblHeader w:val="false"/>
        </w:trPr>
        <w:tc>
          <w:tcPr>
            <w:tcW w:type="dxa" w:w="5163"/>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Painting → inspeksi</w:t>
            </w:r>
          </w:p>
        </w:tc>
        <w:tc>
          <w:tcPr>
            <w:tcW w:type="dxa" w:w="137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right"/>
            </w:pPr>
            <w:r>
              <w:rPr>
                <w:sz w:val="18"/>
                <w:szCs w:val="18"/>
              </w:rPr>
              <w:t xml:space="preserve">27</w:t>
            </w:r>
          </w:p>
        </w:tc>
        <w:tc>
          <w:tcPr>
            <w:tcW w:type="dxa" w:w="309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Kualitas</w:t>
            </w:r>
          </w:p>
        </w:tc>
      </w:tr>
    </w:tbl>
    <w:p>
      <w:pPr>
        <w:spacing w:after="220" w:before="40"/>
      </w:pPr>
      <w:r>
        <w:rPr>
          <w:color w:val="53656C"/>
          <w:sz w:val="17"/>
          <w:szCs w:val="17"/>
        </w:rPr>
        <w:t xml:space="preserve">Sumber: work/2_diagnosis.md §4 (jumlah skor proses hulu dan titik tempat sinyalnya mendarat).</w:t>
      </w:r>
    </w:p>
    <w:p>
      <w:pPr>
        <w:pStyle w:val="Heading2"/>
      </w:pPr>
      <w:r>
        <w:t xml:space="preserve">4.5 Akar masalah (5-whys)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7"/>
        <w:gridCol w:w="2536"/>
        <w:gridCol w:w="4819"/>
        <w:gridCol w:w="1776"/>
      </w:tblGrid>
      <w:tr>
        <w:trPr>
          <w:tblHeader/>
        </w:trPr>
        <w:tc>
          <w:tcPr>
            <w:tcW w:type="dxa" w:w="50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w:t>
            </w:r>
          </w:p>
        </w:tc>
        <w:tc>
          <w:tcPr>
            <w:tcW w:type="dxa" w:w="253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Mengapa?</w:t>
            </w:r>
          </w:p>
        </w:tc>
        <w:tc>
          <w:tcPr>
            <w:tcW w:type="dxa" w:w="481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Jawaban</w:t>
            </w:r>
          </w:p>
        </w:tc>
        <w:tc>
          <w:tcPr>
            <w:tcW w:type="dxa" w:w="177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Bukti</w:t>
            </w:r>
          </w:p>
        </w:tc>
      </w:tr>
      <w:tr>
        <w:trPr>
          <w:tblHeader w:val="false"/>
        </w:trPr>
        <w:tc>
          <w:tcPr>
            <w:tcW w:type="dxa" w:w="5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w:t>
            </w:r>
          </w:p>
        </w:tc>
        <w:tc>
          <w:tcPr>
            <w:tcW w:type="dxa" w:w="253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Mengapa daya saing TMMIN tergerus?</w:t>
            </w:r>
          </w:p>
        </w:tc>
        <w:tc>
          <w:tcPr>
            <w:tcW w:type="dxa" w:w="481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Selisih biaya melebar 5,5 poin per tahun; pesaing membaik, TMMIN tidak</w:t>
            </w:r>
          </w:p>
        </w:tc>
        <w:tc>
          <w:tcPr>
            <w:tcW w:type="dxa" w:w="17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Ex.3</w:t>
            </w:r>
          </w:p>
        </w:tc>
      </w:tr>
      <w:tr>
        <w:trPr>
          <w:tblHeader w:val="false"/>
        </w:trPr>
        <w:tc>
          <w:tcPr>
            <w:tcW w:type="dxa" w:w="5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w:t>
            </w:r>
          </w:p>
        </w:tc>
        <w:tc>
          <w:tcPr>
            <w:tcW w:type="dxa" w:w="253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Mengapa TMMIN tidak membaik?</w:t>
            </w:r>
          </w:p>
        </w:tc>
        <w:tc>
          <w:tcPr>
            <w:tcW w:type="dxa" w:w="481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Kinerja operasional memburuk di semua indikator, dan ide terimplementasi per engineer turun 38%</w:t>
            </w:r>
          </w:p>
        </w:tc>
        <w:tc>
          <w:tcPr>
            <w:tcW w:type="dxa" w:w="177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Ex.4, Ex.6A</w:t>
            </w:r>
          </w:p>
        </w:tc>
      </w:tr>
      <w:tr>
        <w:trPr>
          <w:tblHeader w:val="false"/>
        </w:trPr>
        <w:tc>
          <w:tcPr>
            <w:tcW w:type="dxa" w:w="5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253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Mengapa perbaikan tidak mengimbangi masalah?</w:t>
            </w:r>
          </w:p>
        </w:tc>
        <w:tc>
          <w:tcPr>
            <w:tcW w:type="dxa" w:w="481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Engineer memakai 65% waktunya untuk masalah rutin yang berulang; cacat baru terlihat di akhir lini, jauh dari penyebabnya</w:t>
            </w:r>
          </w:p>
        </w:tc>
        <w:tc>
          <w:tcPr>
            <w:tcW w:type="dxa" w:w="17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Ex.6A, Ex.5</w:t>
            </w:r>
          </w:p>
        </w:tc>
      </w:tr>
      <w:tr>
        <w:trPr>
          <w:tblHeader w:val="false"/>
        </w:trPr>
        <w:tc>
          <w:tcPr>
            <w:tcW w:type="dxa" w:w="50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w:t>
            </w:r>
          </w:p>
        </w:tc>
        <w:tc>
          <w:tcPr>
            <w:tcW w:type="dxa" w:w="253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Mengapa masalah yang sama berulang?</w:t>
            </w:r>
          </w:p>
        </w:tc>
        <w:tc>
          <w:tcPr>
            <w:tcW w:type="dxa" w:w="481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Pelajaran tidak kembali. Hasil inspeksi tidak kembali ke sealer; solusi tetap di kepala senior (48%) dan coaching informal (71%); setiap varian dibangun ulang dari nol (9 bulan)</w:t>
            </w:r>
          </w:p>
        </w:tc>
        <w:tc>
          <w:tcPr>
            <w:tcW w:type="dxa" w:w="177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Ex.5, Ex.6A, Ex.6B, Ex.4</w:t>
            </w:r>
          </w:p>
        </w:tc>
      </w:tr>
      <w:tr>
        <w:trPr>
          <w:tblHeader w:val="false"/>
        </w:trPr>
        <w:tc>
          <w:tcPr>
            <w:tcW w:type="dxa" w:w="50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5</w:t>
            </w:r>
          </w:p>
        </w:tc>
        <w:tc>
          <w:tcPr>
            <w:tcW w:type="dxa" w:w="253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Mengapa pelajaran tidak bisa kembali?</w:t>
            </w:r>
          </w:p>
        </w:tc>
        <w:tc>
          <w:tcPr>
            <w:tcW w:type="dxa" w:w="481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Tidak ada jalur balik yang dirancang: data tidak terhubung (Level 1), peralatan tanpa standar antarmuka (Level 2), tidak ada kanal ide yang mudah, dan hanya 2/30 engineer yang bisa membangun penghubungnya sendiri</w:t>
            </w:r>
          </w:p>
        </w:tc>
        <w:tc>
          <w:tcPr>
            <w:tcW w:type="dxa" w:w="177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Ex.5, Ex.6B, Ex.7</w:t>
            </w:r>
          </w:p>
        </w:tc>
      </w:tr>
    </w:tbl>
    <w:p>
      <w:pPr>
        <w:spacing w:after="220" w:before="40"/>
      </w:pPr>
      <w:r>
        <w:rPr>
          <w:color w:val="53656C"/>
          <w:sz w:val="17"/>
          <w:szCs w:val="17"/>
        </w:rPr>
        <w:t xml:space="preserve">Sumber: work/2_diagnosis.md §5.</w:t>
      </w:r>
    </w:p>
    <w:p>
      <w:pPr>
        <w:shd w:fill="FDF1CF" w:color="auto" w:val="clear"/>
        <w:spacing w:after="200" w:before="120" w:line="300"/>
        <w:ind w:left="160" w:right="160"/>
      </w:pPr>
      <w:r>
        <w:rPr>
          <w:b/>
          <w:bCs/>
        </w:rPr>
        <w:t xml:space="preserve">Kalimat akar masalah:</w:t>
      </w:r>
      <w:r>
        <w:t xml:space="preserve"> Pabrik TMMIN memecahkan masalah yang sama berulang kali karena sinyal masalah dan pelajaran perbaikan tidak punya jalur kembali, baik ke proses penyebab, ke standar bersama, maupun ke varian berikutnya. Akibatnya laju belajar pabrik kalah dari pesaing.</w:t>
      </w:r>
    </w:p>
    <w:p>
      <w:pPr>
        <w:spacing w:after="120" w:line="300"/>
      </w:pPr>
      <w:r>
        <w:t xml:space="preserve">Satu kalimat ini menjelaskan ketiga komplikasi casebook: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1927"/>
        <w:gridCol w:w="5509"/>
      </w:tblGrid>
      <w:tr>
        <w:trPr>
          <w:tblHeader/>
        </w:trPr>
        <w:tc>
          <w:tcPr>
            <w:tcW w:type="dxa" w:w="2202"/>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Komplikasi casebook</w:t>
            </w:r>
          </w:p>
        </w:tc>
        <w:tc>
          <w:tcPr>
            <w:tcW w:type="dxa" w:w="192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Jalur balik yang hilang</w:t>
            </w:r>
          </w:p>
        </w:tc>
        <w:tc>
          <w:tcPr>
            <w:tcW w:type="dxa" w:w="550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Gejala yang dijelaskan</w:t>
            </w:r>
          </w:p>
        </w:tc>
      </w:tr>
      <w:tr>
        <w:trPr>
          <w:tblHeader w:val="false"/>
        </w:trPr>
        <w:tc>
          <w:tcPr>
            <w:tcW w:type="dxa" w:w="220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 Biaya &amp; kualitas</w:t>
            </w:r>
          </w:p>
        </w:tc>
        <w:tc>
          <w:tcPr>
            <w:tcW w:type="dxa" w:w="19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Ke proses penyebab</w:t>
            </w:r>
          </w:p>
        </w:tc>
        <w:tc>
          <w:tcPr>
            <w:tcW w:type="dxa" w:w="550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Cacat ditemukan terlambat → scrap +8%; downtime +11% karena data peralatan tidak kembali sebagai peringatan dini</w:t>
            </w:r>
          </w:p>
        </w:tc>
      </w:tr>
      <w:tr>
        <w:trPr>
          <w:tblHeader w:val="false"/>
        </w:trPr>
        <w:tc>
          <w:tcPr>
            <w:tcW w:type="dxa" w:w="2202"/>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 Fleksibilitas &amp; sumber kapabilitas</w:t>
            </w:r>
          </w:p>
        </w:tc>
        <w:tc>
          <w:tcPr>
            <w:tcW w:type="dxa" w:w="192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Ke varian berikutnya</w:t>
            </w:r>
          </w:p>
        </w:tc>
        <w:tc>
          <w:tcPr>
            <w:tcW w:type="dxa" w:w="550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Tiap varian dirakit ulang point-to-point → 9 bulan; integrasi bergantung pada pihak luar karena kapabilitas internal 2/30</w:t>
            </w:r>
          </w:p>
        </w:tc>
      </w:tr>
      <w:tr>
        <w:trPr>
          <w:tblHeader w:val="false"/>
        </w:trPr>
        <w:tc>
          <w:tcPr>
            <w:tcW w:type="dxa" w:w="2202"/>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 Mindset, pengetahuan, talenta</w:t>
            </w:r>
          </w:p>
        </w:tc>
        <w:tc>
          <w:tcPr>
            <w:tcW w:type="dxa" w:w="192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Ke standar bersama</w:t>
            </w:r>
          </w:p>
        </w:tc>
        <w:tc>
          <w:tcPr>
            <w:tcW w:type="dxa" w:w="550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Know-how di kepala senior (48%) → engineer memadamkan masalah berulang (65%) → ide turun dan jarang terimplementasi (−38%)</w:t>
            </w:r>
          </w:p>
        </w:tc>
      </w:tr>
    </w:tbl>
    <w:p>
      <w:pPr>
        <w:spacing w:after="220" w:before="40"/>
      </w:pPr>
      <w:r>
        <w:rPr>
          <w:color w:val="53656C"/>
          <w:sz w:val="17"/>
          <w:szCs w:val="17"/>
        </w:rPr>
        <w:t xml:space="preserve">Sumber: work/2_diagnosis.md §5.</w:t>
      </w:r>
    </w:p>
    <w:p>
      <w:pPr>
        <w:pStyle w:val="Heading2"/>
      </w:pPr>
      <w:r>
        <w:t xml:space="preserve">4.6 Hipotesis tandingan yang ditolak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4"/>
        <w:gridCol w:w="5209"/>
        <w:gridCol w:w="1825"/>
      </w:tblGrid>
      <w:tr>
        <w:trPr>
          <w:tblHeader/>
        </w:trPr>
        <w:tc>
          <w:tcPr>
            <w:tcW w:type="dxa" w:w="2604"/>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Hipotesis tandingan</w:t>
            </w:r>
          </w:p>
        </w:tc>
        <w:tc>
          <w:tcPr>
            <w:tcW w:type="dxa" w:w="5209"/>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Mengapa tidak menjadi akar masalah</w:t>
            </w:r>
          </w:p>
        </w:tc>
        <w:tc>
          <w:tcPr>
            <w:tcW w:type="dxa" w:w="1825"/>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Bukti</w:t>
            </w:r>
          </w:p>
        </w:tc>
      </w:tr>
      <w:tr>
        <w:trPr>
          <w:tblHeader w:val="false"/>
        </w:trPr>
        <w:tc>
          <w:tcPr>
            <w:tcW w:type="dxa" w:w="26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"Otomasinya kurang; beli lebih banyak robot"</w:t>
            </w:r>
          </w:p>
        </w:tc>
        <w:tc>
          <w:tcPr>
            <w:tcW w:type="dxa" w:w="520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Proses Level 3 tetap bermasalah di titik cek manual. Simulasi tim: kamera lebih baik di akhir lini saja menaikkan indeks scrap menjadi 112, karena cacat tetap ditemukan terlambat. Casebook sendiri menyebut teknologi luar mahal dan sulit diintegrasikan</w:t>
            </w:r>
          </w:p>
        </w:tc>
        <w:tc>
          <w:tcPr>
            <w:tcW w:type="dxa" w:w="182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Ex.5, data/research.md Tes 1</w:t>
            </w:r>
          </w:p>
        </w:tc>
      </w:tr>
      <w:tr>
        <w:trPr>
          <w:tblHeader w:val="false"/>
        </w:trPr>
        <w:tc>
          <w:tcPr>
            <w:tcW w:type="dxa" w:w="26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"Volume turun, biaya tetap tidak terserap"</w:t>
            </w:r>
          </w:p>
        </w:tc>
        <w:tc>
          <w:tcPr>
            <w:tcW w:type="dxa" w:w="520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Berpengaruh pada depresiasi, tetapi pemain baru menghadapi pasar yang sama dan biayanya tetap turun. Faktor ini juga di luar pertanyaan "cara memproduksi"</w:t>
            </w:r>
          </w:p>
        </w:tc>
        <w:tc>
          <w:tcPr>
            <w:tcW w:type="dxa" w:w="182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Ex.1, Ex.3</w:t>
            </w:r>
          </w:p>
        </w:tc>
      </w:tr>
      <w:tr>
        <w:trPr>
          <w:tblHeader w:val="false"/>
        </w:trPr>
        <w:tc>
          <w:tcPr>
            <w:tcW w:type="dxa" w:w="2604"/>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"Karyawan menolak perubahan"</w:t>
            </w:r>
          </w:p>
        </w:tc>
        <w:tc>
          <w:tcPr>
            <w:tcW w:type="dxa" w:w="5209"/>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54% melihat teknologi sebagai pembantu dan 62% mau menyumbang ide. Yang kurang adalah pelatihan (18%) dan kanal, bukan kemauan</w:t>
            </w:r>
          </w:p>
        </w:tc>
        <w:tc>
          <w:tcPr>
            <w:tcW w:type="dxa" w:w="1825"/>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Ex.6B</w:t>
            </w:r>
          </w:p>
        </w:tc>
      </w:tr>
      <w:tr>
        <w:trPr>
          <w:tblHeader w:val="false"/>
        </w:trPr>
        <w:tc>
          <w:tcPr>
            <w:tcW w:type="dxa" w:w="2604"/>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"Inflasi upah dan energi"</w:t>
            </w:r>
          </w:p>
        </w:tc>
        <w:tc>
          <w:tcPr>
            <w:tcW w:type="dxa" w:w="5209"/>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Menjelaskan sekitar 4,2 dari 6 poin kenaikan, tetapi pesaing menghadapi tekanan serupa dan tetap turun. Yang bisa dikendalikan adalah produktivitas</w:t>
            </w:r>
          </w:p>
        </w:tc>
        <w:tc>
          <w:tcPr>
            <w:tcW w:type="dxa" w:w="1825"/>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Ex.9, temuan 3.2 [ASUMSI]</w:t>
            </w:r>
          </w:p>
        </w:tc>
      </w:tr>
    </w:tbl>
    <w:p>
      <w:pPr>
        <w:spacing w:after="220" w:before="40"/>
      </w:pPr>
      <w:r>
        <w:rPr>
          <w:color w:val="53656C"/>
          <w:sz w:val="17"/>
          <w:szCs w:val="17"/>
        </w:rPr>
        <w:t xml:space="preserve">Sumber: work/2_diagnosis.md §6; simulasi sealer di model/run_tests.py.</w:t>
      </w:r>
    </w:p>
    <w:p>
      <w:pPr>
        <w:pStyle w:val="Heading2"/>
      </w:pPr>
      <w:r>
        <w:t xml:space="preserve">4.7 Area prioritas</w:t>
      </w:r>
    </w:p>
    <w:p>
      <w:pPr>
        <w:spacing w:after="120" w:line="300"/>
      </w:pPr>
      <w:r>
        <w:rPr>
          <w:b/>
          <w:bCs/>
        </w:rPr>
        <w:t xml:space="preserve">Area prioritas:</w:t>
      </w:r>
      <w:r>
        <w:t xml:space="preserve"> loop kualitas di titik deteksi, yaitu inspeksi kualitas (Level 1) dan integrasi data (Level 1), dengan sealer → inspeksi sebagai titik masuk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
        <w:gridCol w:w="7086"/>
        <w:gridCol w:w="1986"/>
      </w:tblGrid>
      <w:tr>
        <w:trPr>
          <w:tblHeader/>
        </w:trPr>
        <w:tc>
          <w:tcPr>
            <w:tcW w:type="dxa" w:w="56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w:t>
            </w:r>
          </w:p>
        </w:tc>
        <w:tc>
          <w:tcPr>
            <w:tcW w:type="dxa" w:w="708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Bukti</w:t>
            </w:r>
          </w:p>
        </w:tc>
        <w:tc>
          <w:tcPr>
            <w:tcW w:type="dxa" w:w="1986"/>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Sumber</w:t>
            </w:r>
          </w:p>
        </w:tc>
      </w:tr>
      <w:tr>
        <w:trPr>
          <w:tblHeader w:val="false"/>
        </w:trPr>
        <w:tc>
          <w:tcPr>
            <w:tcW w:type="dxa" w:w="56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1</w:t>
            </w:r>
          </w:p>
        </w:tc>
        <w:tc>
          <w:tcPr>
            <w:tcW w:type="dxa" w:w="70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Hanya dua fungsi yang berada di Level 1 dari 12 proses: inspeksi dan integrasi data</w:t>
            </w:r>
          </w:p>
        </w:tc>
        <w:tc>
          <w:tcPr>
            <w:tcW w:type="dxa" w:w="19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Ex.5</w:t>
            </w:r>
          </w:p>
        </w:tc>
      </w:tr>
      <w:tr>
        <w:trPr>
          <w:tblHeader w:val="false"/>
        </w:trPr>
        <w:tc>
          <w:tcPr>
            <w:tcW w:type="dxa" w:w="56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2</w:t>
            </w:r>
          </w:p>
        </w:tc>
        <w:tc>
          <w:tcPr>
            <w:tcW w:type="dxa" w:w="708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Keduanya masuk tiga besar heat map di 27/27 kombinasi bobot</w:t>
            </w:r>
          </w:p>
        </w:tc>
        <w:tc>
          <w:tcPr>
            <w:tcW w:type="dxa" w:w="198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Bagian 4</w:t>
            </w:r>
          </w:p>
        </w:tc>
      </w:tr>
      <w:tr>
        <w:trPr>
          <w:tblHeader w:val="false"/>
        </w:trPr>
        <w:tc>
          <w:tcPr>
            <w:tcW w:type="dxa" w:w="56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3</w:t>
            </w:r>
          </w:p>
        </w:tc>
        <w:tc>
          <w:tcPr>
            <w:tcW w:type="dxa" w:w="70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Scrap naik 8%, sedangkan cacat lolos hanya naik 3%. Cacat makin banyak tertangkap, tetapi tertangkap terlambat. Ini pola khas loop yang terbuka</w:t>
            </w:r>
          </w:p>
        </w:tc>
        <w:tc>
          <w:tcPr>
            <w:tcW w:type="dxa" w:w="19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Ex.4</w:t>
            </w:r>
          </w:p>
        </w:tc>
      </w:tr>
      <w:tr>
        <w:trPr>
          <w:tblHeader w:val="false"/>
        </w:trPr>
        <w:tc>
          <w:tcPr>
            <w:tcW w:type="dxa" w:w="56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4</w:t>
            </w:r>
          </w:p>
        </w:tc>
        <w:tc>
          <w:tcPr>
            <w:tcW w:type="dxa" w:w="708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Simulasi: menutup loop menurunkan indeks scrap area pilot 100 → 15–34; kamera saja malah 112</w:t>
            </w:r>
          </w:p>
        </w:tc>
        <w:tc>
          <w:tcPr>
            <w:tcW w:type="dxa" w:w="1986"/>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data/research.md Tes 1</w:t>
            </w:r>
          </w:p>
        </w:tc>
      </w:tr>
      <w:tr>
        <w:trPr>
          <w:tblHeader w:val="false"/>
        </w:trPr>
        <w:tc>
          <w:tcPr>
            <w:tcW w:type="dxa" w:w="56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5</w:t>
            </w:r>
          </w:p>
        </w:tc>
        <w:tc>
          <w:tcPr>
            <w:tcW w:type="dxa" w:w="70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Fondasi in-house sudah ada: kamera AI dari CCTV selesai divalidasi Oktober 2026</w:t>
            </w:r>
          </w:p>
        </w:tc>
        <w:tc>
          <w:tcPr>
            <w:tcW w:type="dxa" w:w="1986"/>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Ex.5</w:t>
            </w:r>
          </w:p>
        </w:tc>
      </w:tr>
    </w:tbl>
    <w:p>
      <w:pPr>
        <w:spacing w:after="220" w:before="40"/>
      </w:pPr>
      <w:r>
        <w:rPr>
          <w:color w:val="53656C"/>
          <w:sz w:val="17"/>
          <w:szCs w:val="17"/>
        </w:rPr>
        <w:t xml:space="preserve">Sumber: work/2_diagnosis.md §7.</w:t>
      </w:r>
    </w:p>
    <w:p>
      <w:pPr>
        <w:spacing w:after="120" w:line="300"/>
      </w:pPr>
      <w:r>
        <w:t xml:space="preserve">Final assembly memiliki skor dampak tertinggi di antara proses produksi, tetapi lingkupnya lebih luas dan risikonya lebih tinggi untuk pilot pertama. Sealer dipilih karena satu-satunya proses yang oleh casebook disebut tanpa umpan balik kualitas otomatis, sinyalnya paling jelas, dan kamera AI in-house sudah ada. Final assembly menjadi gelombang rollout pertama.</w:t>
      </w:r>
    </w:p>
    <w:p>
      <w:pPr>
        <w:pStyle w:val="Heading2"/>
      </w:pPr>
      <w:r>
        <w:t xml:space="preserve">4.8 Peluang tersembunyi di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3480"/>
        <w:gridCol w:w="4017"/>
      </w:tblGrid>
      <w:tr>
        <w:trPr>
          <w:tblHeader/>
        </w:trPr>
        <w:tc>
          <w:tcPr>
            <w:tcW w:type="dxa" w:w="2141"/>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Peluang</w:t>
            </w:r>
          </w:p>
        </w:tc>
        <w:tc>
          <w:tcPr>
            <w:tcW w:type="dxa" w:w="3480"/>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Data</w:t>
            </w:r>
          </w:p>
        </w:tc>
        <w:tc>
          <w:tcPr>
            <w:tcW w:type="dxa" w:w="4017"/>
            <w:tcBorders>
              <w:top w:val="single" w:color="D5DFE1" w:sz="4"/>
              <w:left w:val="single" w:color="D5DFE1" w:sz="4"/>
              <w:bottom w:val="single" w:color="D5DFE1" w:sz="4"/>
              <w:right w:val="single" w:color="D5DFE1" w:sz="4"/>
            </w:tcBorders>
            <w:shd w:fill="0F3D4A" w:color="auto" w:val="clear"/>
            <w:tcMar>
              <w:top w:type="dxa" w:w="60"/>
              <w:left w:type="dxa" w:w="90"/>
              <w:bottom w:type="dxa" w:w="60"/>
              <w:right w:type="dxa" w:w="90"/>
            </w:tcMar>
            <w:vAlign w:val="center"/>
          </w:tcPr>
          <w:p>
            <w:pPr>
              <w:jc w:val="left"/>
            </w:pPr>
            <w:r>
              <w:rPr>
                <w:b/>
                <w:bCs/>
                <w:color w:val="FFFFFF"/>
                <w:sz w:val="17"/>
                <w:szCs w:val="17"/>
              </w:rPr>
              <w:t xml:space="preserve">Artinya untuk solusi</w:t>
            </w:r>
          </w:p>
        </w:tc>
      </w:tr>
      <w:tr>
        <w:trPr>
          <w:tblHeader w:val="false"/>
        </w:trPr>
        <w:tc>
          <w:tcPr>
            <w:tcW w:type="dxa" w:w="214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Kolam ide yang belum tersentuh</w:t>
            </w:r>
          </w:p>
        </w:tc>
        <w:tc>
          <w:tcPr>
            <w:tcW w:type="dxa" w:w="348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62% operator mau menyumbang ide bila ada kanal mudah, sementara ide per engineer turun ke 2,4</w:t>
            </w:r>
          </w:p>
        </w:tc>
        <w:tc>
          <w:tcPr>
            <w:tcW w:type="dxa" w:w="401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Sumber perbaikan bisa diperluas dari engineer ke operator</w:t>
            </w:r>
          </w:p>
        </w:tc>
      </w:tr>
      <w:tr>
        <w:trPr>
          <w:tblHeader w:val="false"/>
        </w:trPr>
        <w:tc>
          <w:tcPr>
            <w:tcW w:type="dxa" w:w="214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Kemauan sudah ada, keterampilan belum</w:t>
            </w:r>
          </w:p>
        </w:tc>
        <w:tc>
          <w:tcPr>
            <w:tcW w:type="dxa" w:w="348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54% melihat teknologi sebagai pembantu, tetapi hanya 18% sudah dilatih (selisih 36 poin)</w:t>
            </w:r>
          </w:p>
        </w:tc>
        <w:tc>
          <w:tcPr>
            <w:tcW w:type="dxa" w:w="401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Hambatannya pelatihan, bukan penolakan; program bisa langsung mulai dari kelompok yang sudah mau</w:t>
            </w:r>
          </w:p>
        </w:tc>
      </w:tr>
      <w:tr>
        <w:trPr>
          <w:tblHeader w:val="false"/>
        </w:trPr>
        <w:tc>
          <w:tcPr>
            <w:tcW w:type="dxa" w:w="214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Pengetahuan sudah mengalir, hanya belum tercatat</w:t>
            </w:r>
          </w:p>
        </w:tc>
        <w:tc>
          <w:tcPr>
            <w:tcW w:type="dxa" w:w="348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71% know-how dibagi lewat coaching informal</w:t>
            </w:r>
          </w:p>
        </w:tc>
        <w:tc>
          <w:tcPr>
            <w:tcW w:type="dxa" w:w="401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Tangkap aliran yang sudah ada, bukan membuat budaya baru</w:t>
            </w:r>
          </w:p>
        </w:tc>
      </w:tr>
      <w:tr>
        <w:trPr>
          <w:tblHeader w:val="false"/>
        </w:trPr>
        <w:tc>
          <w:tcPr>
            <w:tcW w:type="dxa" w:w="214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Fondasi teknik yang kuat</w:t>
            </w:r>
          </w:p>
        </w:tc>
        <w:tc>
          <w:tcPr>
            <w:tcW w:type="dxa" w:w="348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Mechanical Level 3+ 63%, Electrical 50%; Software &amp; AI hanya 7%</w:t>
            </w:r>
          </w:p>
        </w:tc>
        <w:tc>
          <w:tcPr>
            <w:tcW w:type="dxa" w:w="401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Pasangkan ahli domain dengan pelatihan digital yang sempit dan cepat, bukan merekrut ilmuwan data dari nol</w:t>
            </w:r>
          </w:p>
        </w:tc>
      </w:tr>
      <w:tr>
        <w:trPr>
          <w:tblHeader w:val="false"/>
        </w:trPr>
        <w:tc>
          <w:tcPr>
            <w:tcW w:type="dxa" w:w="214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Bukti kapabilitas in-house</w:t>
            </w:r>
          </w:p>
        </w:tc>
        <w:tc>
          <w:tcPr>
            <w:tcW w:type="dxa" w:w="348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Kamera AI dari CCTV dikembangkan sendiri</w:t>
            </w:r>
          </w:p>
        </w:tc>
        <w:tc>
          <w:tcPr>
            <w:tcW w:type="dxa" w:w="401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TMMIN sudah bisa membangun; tinggal menjadikannya sistem</w:t>
            </w:r>
          </w:p>
        </w:tc>
      </w:tr>
      <w:tr>
        <w:trPr>
          <w:tblHeader w:val="false"/>
        </w:trPr>
        <w:tc>
          <w:tcPr>
            <w:tcW w:type="dxa" w:w="2141"/>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Kapasitas menganggur</w:t>
            </w:r>
          </w:p>
        </w:tc>
        <w:tc>
          <w:tcPr>
            <w:tcW w:type="dxa" w:w="3480"/>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Utilisasi 70% → sekitar 75.000 unit/tahun kapasitas Karawang I &amp; II belum terpakai</w:t>
            </w:r>
          </w:p>
        </w:tc>
        <w:tc>
          <w:tcPr>
            <w:tcW w:type="dxa" w:w="4017"/>
            <w:tcBorders>
              <w:top w:val="single" w:color="D5DFE1" w:sz="4"/>
              <w:left w:val="single" w:color="D5DFE1" w:sz="4"/>
              <w:bottom w:val="single" w:color="D5DFE1" w:sz="4"/>
              <w:right w:val="single" w:color="D5DFE1" w:sz="4"/>
            </w:tcBorders>
            <w:shd w:fill="EEF3F4" w:color="auto" w:val="clear"/>
            <w:tcMar>
              <w:top w:type="dxa" w:w="60"/>
              <w:left w:type="dxa" w:w="90"/>
              <w:bottom w:type="dxa" w:w="60"/>
              <w:right w:type="dxa" w:w="90"/>
            </w:tcMar>
            <w:vAlign w:val="center"/>
          </w:tcPr>
          <w:p>
            <w:pPr>
              <w:jc w:val="left"/>
            </w:pPr>
            <w:r>
              <w:rPr>
                <w:sz w:val="18"/>
                <w:szCs w:val="18"/>
              </w:rPr>
              <w:t xml:space="preserve">Varian elektrifikasi baru bisa masuk ke lini yang ada jika ganti varian cepat, tanpa pabrik baru</w:t>
            </w:r>
          </w:p>
        </w:tc>
      </w:tr>
      <w:tr>
        <w:trPr>
          <w:tblHeader w:val="false"/>
        </w:trPr>
        <w:tc>
          <w:tcPr>
            <w:tcW w:type="dxa" w:w="2141"/>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Kepercayaan operator punya nilai rupiah</w:t>
            </w:r>
          </w:p>
        </w:tc>
        <w:tc>
          <w:tcPr>
            <w:tcW w:type="dxa" w:w="3480"/>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Simulasi: 31% alert diabaikan → indeks scrap 34; desain berpusat manusia → 15</w:t>
            </w:r>
          </w:p>
        </w:tc>
        <w:tc>
          <w:tcPr>
            <w:tcW w:type="dxa" w:w="4017"/>
            <w:tcBorders>
              <w:top w:val="single" w:color="D5DFE1" w:sz="4"/>
              <w:left w:val="single" w:color="D5DFE1" w:sz="4"/>
              <w:bottom w:val="single" w:color="D5DFE1" w:sz="4"/>
              <w:right w:val="single" w:color="D5DFE1" w:sz="4"/>
            </w:tcBorders>
            <w:tcMar>
              <w:top w:type="dxa" w:w="60"/>
              <w:left w:type="dxa" w:w="90"/>
              <w:bottom w:type="dxa" w:w="60"/>
              <w:right w:type="dxa" w:w="90"/>
            </w:tcMar>
            <w:vAlign w:val="center"/>
          </w:tcPr>
          <w:p>
            <w:pPr>
              <w:jc w:val="left"/>
            </w:pPr>
            <w:r>
              <w:rPr>
                <w:sz w:val="18"/>
                <w:szCs w:val="18"/>
              </w:rPr>
              <w:t xml:space="preserve">Human-centered bukan sekadar slogan; itu tuas biaya yang terukur</w:t>
            </w:r>
          </w:p>
        </w:tc>
      </w:tr>
    </w:tbl>
    <w:p>
      <w:pPr>
        <w:spacing w:after="220" w:before="40"/>
      </w:pPr>
      <w:r>
        <w:rPr>
          <w:color w:val="53656C"/>
          <w:sz w:val="17"/>
          <w:szCs w:val="17"/>
        </w:rPr>
        <w:t xml:space="preserve">Sumber: Casebook Exhibit 5, 6B, 7, 9; work/2_diagnosis.md §8.</w:t>
      </w:r>
    </w:p>
    <w:p>
      <w:pPr>
        <w:pStyle w:val="Heading2"/>
      </w:pPr>
      <w:r>
        <w:t xml:space="preserve">4.9 Keterbatasan data</w:t>
      </w:r>
    </w:p>
    <w:p>
      <w:pPr>
        <w:pStyle w:val="ListParagraph"/>
        <w:numPr>
          <w:ilvl w:val="0"/>
          <w:numId w:val="2"/>
        </w:numPr>
        <w:spacing w:after="60" w:line="288"/>
      </w:pPr>
      <w:r>
        <w:t xml:space="preserve">Exhibit 3–9 adalah </w:t>
      </w:r>
      <w:r>
        <w:rPr>
          <w:b/>
          <w:bCs/>
        </w:rPr>
        <w:t xml:space="preserve">data dummy</w:t>
      </w:r>
      <w:r>
        <w:t xml:space="preserve">; kesimpulan berlaku untuk kasus, bukan klaim tentang TMMIN yang sebenarnya.</w:t>
      </w:r>
    </w:p>
    <w:p>
      <w:pPr>
        <w:pStyle w:val="ListParagraph"/>
        <w:numPr>
          <w:ilvl w:val="0"/>
          <w:numId w:val="2"/>
        </w:numPr>
        <w:spacing w:after="60" w:line="288"/>
      </w:pPr>
      <w:r>
        <w:t xml:space="preserve">Porsi komponen biaya konversi tidak diberikan casebook; jembatan biaya memakai asumsi tim dan indeks diasumsikan nominal.</w:t>
      </w:r>
    </w:p>
    <w:p>
      <w:pPr>
        <w:pStyle w:val="ListParagraph"/>
        <w:numPr>
          <w:ilvl w:val="0"/>
          <w:numId w:val="2"/>
        </w:numPr>
        <w:spacing w:after="60" w:line="288"/>
      </w:pPr>
      <w:r>
        <w:t xml:space="preserve">Data energi tidak tersedia sama sekali, yang sekaligus menjadi bukti celah integrasi data.</w:t>
      </w:r>
    </w:p>
    <w:p>
      <w:pPr>
        <w:pStyle w:val="ListParagraph"/>
        <w:numPr>
          <w:ilvl w:val="0"/>
          <w:numId w:val="2"/>
        </w:numPr>
        <w:spacing w:after="60" w:line="288"/>
      </w:pPr>
      <w:r>
        <w:t xml:space="preserve">Survei Exhibit 6B hanya mencakup area pilot (N = 120); Exhibit 7 memakai N = 30 per bidang.</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56C"/>
        <w:sz w:val="16"/>
        <w:szCs w:val="16"/>
      </w:rPr>
      <w:t xml:space="preserve">Problem Identification &amp; Analysis · TMMIN · M3C 2026    </w:t>
    </w:r>
    <w:r>
      <w:rPr>
        <w:color w:val="53656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56C"/>
        <w:sz w:val="16"/>
        <w:szCs w:val="16"/>
      </w:rPr>
      <w:t xml:space="preserve">Problem Identification &amp; Analysis · TMMIN · M3C 2026    </w:t>
    </w:r>
    <w:r>
      <w:rPr>
        <w:color w:val="53656C"/>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56C"/>
        <w:sz w:val="16"/>
        <w:szCs w:val="16"/>
      </w:rPr>
      <w:t xml:space="preserve">Problem Identification &amp; Analysis · TMMIN · M3C 2026    </w:t>
    </w:r>
    <w:r>
      <w:rPr>
        <w:color w:val="536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mbria" w:cs="Cambria" w:eastAsia="Cambria" w:hAnsi="Cambria"/>
      <w:b/>
      <w:bCs/>
      <w:color w:val="0F3D4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0F7B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7749358587e665325e2acfe7e25d049bc4ab5e3.png"/><Relationship Id="rId11" Type="http://schemas.openxmlformats.org/officeDocument/2006/relationships/image" Target="media/234c1d1deb5a287eb287312feb91c14e64e006c1.png"/><Relationship Id="rId12" Type="http://schemas.openxmlformats.org/officeDocument/2006/relationships/image" Target="media/e8df7b1b20541308a7be5018b47531d392d1fe5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Identification &amp; Analysis — TMMIN</dc:title>
  <dc:creator>Tim [Nama Tim]</dc:creator>
  <dc:description>M3C 2026</dc:description>
  <cp:lastModifiedBy>Un-named</cp:lastModifiedBy>
  <cp:revision>1</cp:revision>
  <dcterms:created xsi:type="dcterms:W3CDTF">2026-10-07T07:20:48.468Z</dcterms:created>
  <dcterms:modified xsi:type="dcterms:W3CDTF">2026-10-07T07:20:48.469Z</dcterms:modified>
</cp:coreProperties>
</file>

<file path=docProps/custom.xml><?xml version="1.0" encoding="utf-8"?>
<Properties xmlns="http://schemas.openxmlformats.org/officeDocument/2006/custom-properties" xmlns:vt="http://schemas.openxmlformats.org/officeDocument/2006/docPropsVTypes"/>
</file>