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85042"/>
          <w:sz w:val="52"/>
        </w:rPr>
        <w:t>Guion del expositor</w:t>
      </w:r>
    </w:p>
    <w:p>
      <w:pPr>
        <w:spacing w:after="320"/>
      </w:pPr>
      <w:r>
        <w:rPr>
          <w:b w:val="0"/>
          <w:i w:val="0"/>
          <w:color w:val="6B615B"/>
          <w:sz w:val="28"/>
        </w:rPr>
        <w:t>Sección de la aplicación · Avances de producto (2 diapositivas)</w:t>
      </w:r>
    </w:p>
    <w:p>
      <w:pPr>
        <w:spacing w:after="160"/>
      </w:pPr>
      <w:r>
        <w:rPr>
          <w:b/>
          <w:i w:val="0"/>
        </w:rPr>
        <w:t xml:space="preserve">Diapositivas cubiertas: </w:t>
      </w:r>
      <w:r>
        <w:rPr>
          <w:b w:val="0"/>
          <w:i w:val="0"/>
        </w:rPr>
        <w:t>las dos que abren la presentación, mostrando la app en funcionamiento antes de entrar a la sección del modelo (que empieza en «Guion del expositor — Sección del modelo»).</w:t>
      </w:r>
    </w:p>
    <w:p>
      <w:pPr>
        <w:spacing w:after="160"/>
      </w:pPr>
      <w:r>
        <w:rPr>
          <w:b/>
          <w:i w:val="0"/>
        </w:rPr>
        <w:t xml:space="preserve">Duración estimada: </w:t>
      </w:r>
      <w:r>
        <w:rPr>
          <w:b w:val="0"/>
          <w:i w:val="0"/>
        </w:rPr>
        <w:t>de 3 a 4 minutos leído a ritmo normal, sin contar preguntas.</w:t>
      </w:r>
    </w:p>
    <w:p>
      <w:pPr>
        <w:spacing w:after="160"/>
      </w:pPr>
      <w:r>
        <w:rPr>
          <w:b/>
          <w:i w:val="0"/>
        </w:rPr>
        <w:t xml:space="preserve">Cómo usar este documento: </w:t>
      </w:r>
      <w:r>
        <w:rPr>
          <w:b w:val="0"/>
          <w:i w:val="0"/>
        </w:rPr>
        <w:t>los bloques con barra roja al margen son lo que se dice en voz alta. Las notas en cursiva son indicaciones de entrega o avisos honestos sobre el estado del desarrollo — no se leen tal cual, pero conviene tenerlas presentes por si alguien pregunta.</w:t>
      </w:r>
    </w:p>
    <w:p>
      <w:r>
        <w:br w:type="page"/>
      </w:r>
    </w:p>
    <w:p>
      <w:pPr>
        <w:pStyle w:val="Heading1"/>
      </w:pPr>
      <w:r>
        <w:t>Apertura</w:t>
      </w:r>
    </w:p>
    <w:p>
      <w:pPr>
        <w:spacing w:after="200" w:line="300" w:lineRule="auto"/>
        <w:ind w:left="504"/>
        <w:pBdr>
          <w:left w:val="single" w:sz="18" w:space="10" w:color="B85042"/>
        </w:pBdr>
      </w:pPr>
      <w:r>
        <w:rPr>
          <w:sz w:val="23"/>
        </w:rPr>
        <w:t>Antes de contarles cómo funciona por dentro, quiero que vean cómo se siente usarla. Esto es lo que tiene enfrente un niño cuando abre la app: no es una demo, es la build que ya está instalada.</w:t>
      </w:r>
    </w:p>
    <w:p>
      <w:pPr>
        <w:spacing w:after="160"/>
      </w:pPr>
      <w:r>
        <w:rPr>
          <w:b w:val="0"/>
          <w:i/>
          <w:color w:val="6B615B"/>
          <w:sz w:val="22"/>
        </w:rPr>
        <w:t>Abrir con la experiencia de uso, no con la arquitectura, ancla la charla en algo que cualquiera en la sala puede juzgar sin ser técnico. La arquitectura viene después y se apoya en lo que ya vieron aquí.</w:t>
      </w:r>
    </w:p>
    <w:p>
      <w:pPr>
        <w:pStyle w:val="Heading1"/>
      </w:pPr>
      <w:r>
        <w:t>Diapositiva 1 — Práctica de pronunciación, de punta a punta</w:t>
      </w:r>
    </w:p>
    <w:p>
      <w:pPr>
        <w:pStyle w:val="Heading2"/>
      </w:pPr>
      <w:r>
        <w:t>El hub de selección</w:t>
      </w:r>
    </w:p>
    <w:p>
      <w:pPr>
        <w:spacing w:after="200" w:line="300" w:lineRule="auto"/>
        <w:ind w:left="504"/>
        <w:pBdr>
          <w:left w:val="single" w:sz="18" w:space="10" w:color="B85042"/>
        </w:pBdr>
      </w:pPr>
      <w:r>
        <w:rPr>
          <w:sz w:val="23"/>
        </w:rPr>
        <w:t>Esta es la pantalla de práctica de pronunciación. Cada tarjeta es una palabra: el texto en mazahua arriba, la traducción al español debajo, y un ícono de micrófono que invita a grabar. Arriba hay un buscador, porque la lista completa tiene más de cuarenta palabras.</w:t>
      </w:r>
    </w:p>
    <w:p>
      <w:pPr>
        <w:spacing w:after="200" w:line="300" w:lineRule="auto"/>
        <w:ind w:left="504"/>
        <w:pBdr>
          <w:left w:val="single" w:sz="18" w:space="10" w:color="B85042"/>
        </w:pBdr>
      </w:pPr>
      <w:r>
        <w:rPr>
          <w:sz w:val="23"/>
        </w:rPr>
        <w:t>El mensaje de cabecera lo resume: «selecciona una palabra, escucha cómo se pronuncia y graba tu intento». Ese es literalmente el flujo completo en una frase.</w:t>
      </w:r>
    </w:p>
    <w:p>
      <w:pPr>
        <w:pStyle w:val="Heading2"/>
      </w:pPr>
      <w:r>
        <w:t>El flujo: escuchar, grabar, veredicto</w:t>
      </w:r>
    </w:p>
    <w:p>
      <w:pPr>
        <w:spacing w:after="200" w:line="300" w:lineRule="auto"/>
        <w:ind w:left="504"/>
        <w:pBdr>
          <w:left w:val="single" w:sz="18" w:space="10" w:color="B85042"/>
        </w:pBdr>
      </w:pPr>
      <w:r>
        <w:rPr>
          <w:sz w:val="23"/>
        </w:rPr>
        <w:t>Al tocar una palabra —aquí, «dyoo», perro— se abre su ficha: la imagen, la palabra, y un botón morado para escuchar la pronunciación de referencia grabada por un hablante nativo. Debajo, un solo botón grande: presionar para grabar la propia voz.</w:t>
      </w:r>
    </w:p>
    <w:p>
      <w:pPr>
        <w:spacing w:after="200" w:line="300" w:lineRule="auto"/>
        <w:ind w:left="504"/>
        <w:pBdr>
          <w:left w:val="single" w:sz="18" w:space="10" w:color="B85042"/>
        </w:pBdr>
      </w:pPr>
      <w:r>
        <w:rPr>
          <w:sz w:val="23"/>
        </w:rPr>
        <w:t>Aquí muestro dos intentos reales sobre esa misma palabra. Uno lo acepta con 70.9 % de similitud y responde «¡Excelente pronunciación!». El otro lo rechaza con 0.0 % y responde «Casi lo logras», invitando a intentar de nuevo. Es la misma palabra, el mismo modelo, dos resultados distintos según qué tan cerca quedó la voz del niño de la referencia.</w:t>
      </w:r>
    </w:p>
    <w:p>
      <w:pPr>
        <w:spacing w:after="160"/>
      </w:pPr>
      <w:r>
        <w:rPr>
          <w:b w:val="0"/>
          <w:i/>
          <w:color w:val="6B615B"/>
          <w:sz w:val="22"/>
        </w:rPr>
        <w:t>Si alguien pregunta por qué 70.9 % ya cuenta como «excelente»: ese número no es un porcentaje de acierto en el sentido usual, es una medida de distancia reescalada contra un umbral. La corta que importa es el umbral, no el 70. Eso se explica con detalle en la sección del modelo, así que aquí basta con decir «lo explico en la parte técnica» y seguir adelante.</w:t>
      </w:r>
    </w:p>
    <w:p>
      <w:pPr>
        <w:pStyle w:val="Heading1"/>
      </w:pPr>
      <w:r>
        <w:t>Diapositiva 2 — Cómo se llega ahí: Explorar y Mapa de aventuras</w:t>
      </w:r>
    </w:p>
    <w:p>
      <w:pPr>
        <w:pStyle w:val="Heading2"/>
      </w:pPr>
      <w:r>
        <w:t>El hub Explorar</w:t>
      </w:r>
    </w:p>
    <w:p>
      <w:pPr>
        <w:spacing w:after="200" w:line="300" w:lineRule="auto"/>
        <w:ind w:left="504"/>
        <w:pBdr>
          <w:left w:val="single" w:sz="18" w:space="10" w:color="B85042"/>
        </w:pBdr>
      </w:pPr>
      <w:r>
        <w:rPr>
          <w:sz w:val="23"/>
        </w:rPr>
        <w:t>La práctica de pronunciación no vive sola: cuelga de la pestaña Explorar, que ofrece tres caminos. El primero es justo lo que acabamos de ver. El segundo es el Mapa de aventuras. El tercero lleva a contenido cultural —canciones, leyendas, poemas— en mazahua.</w:t>
      </w:r>
    </w:p>
    <w:p>
      <w:pPr>
        <w:pStyle w:val="Heading2"/>
      </w:pPr>
      <w:r>
        <w:t>El mapa de aventuras</w:t>
      </w:r>
    </w:p>
    <w:p>
      <w:pPr>
        <w:spacing w:after="200" w:line="300" w:lineRule="auto"/>
        <w:ind w:left="504"/>
        <w:pBdr>
          <w:left w:val="single" w:sz="18" w:space="10" w:color="B85042"/>
        </w:pBdr>
      </w:pPr>
      <w:r>
        <w:rPr>
          <w:sz w:val="23"/>
        </w:rPr>
        <w:t>Tocar «Mapa de aventuras» rota el teléfono a horizontal y lo pone en pantalla completa: sin barra de navegación, solo el mapa. Es una excepción deliberada de diseño, la única pantalla de la app que se ve así, porque el mapa se aprovecha mejor con todo el ancho de la pantalla.</w:t>
      </w:r>
    </w:p>
    <w:p>
      <w:pPr>
        <w:spacing w:after="200" w:line="300" w:lineRule="auto"/>
        <w:ind w:left="504"/>
        <w:pBdr>
          <w:left w:val="single" w:sz="18" w:space="10" w:color="B85042"/>
        </w:pBdr>
      </w:pPr>
      <w:r>
        <w:rPr>
          <w:sz w:val="23"/>
        </w:rPr>
        <w:t>Cada zona ilustrada —Escuela, Granja, Cocina, Mercado, Comunidad, Clínica, Parque, Bosque, Llanura— representa un tema. Tocar una zona con juegos disponibles despacha directo a esos juegos, agrupados por el mismo tema que organiza el resto de la app.</w:t>
      </w:r>
    </w:p>
    <w:p>
      <w:pPr>
        <w:spacing w:after="160"/>
      </w:pPr>
      <w:r>
        <w:rPr>
          <w:b w:val="0"/>
          <w:i/>
          <w:color w:val="6B615B"/>
          <w:sz w:val="22"/>
        </w:rPr>
        <w:t>Aviso honesto para quien presente: la captura que se muestra en esta diapositiva tiene las ocho zonas con acceso a juegos, para que la vista quede completa. En la build que corre en los teléfonos de la sala, Bosque y Llanura todavía están en construcción y aparecen con un ícono de herramienta en vez del control de juego —son las próximas dos zonas en el roadmap, seis de ocho ya están completas. Si alguien lo nota y pregunta, decirlo tal cual: es una diferencia de calendario, no un error de la demo.</w:t>
      </w:r>
    </w:p>
    <w:p>
      <w:pPr>
        <w:pStyle w:val="Heading1"/>
      </w:pPr>
      <w:r>
        <w:t>Transición hacia la sección del modelo</w:t>
      </w:r>
    </w:p>
    <w:p>
      <w:pPr>
        <w:spacing w:after="200" w:line="300" w:lineRule="auto"/>
        <w:ind w:left="504"/>
        <w:pBdr>
          <w:left w:val="single" w:sz="18" w:space="10" w:color="B85042"/>
        </w:pBdr>
      </w:pPr>
      <w:r>
        <w:rPr>
          <w:sz w:val="23"/>
        </w:rPr>
        <w:t>Hasta aquí les mostré la aplicación: cómo se ve, cómo la usa un niño, qué pasa cuando graba. Ahora quiero abrir la caja y contarles qué hay adentro, porque el modelo es la parte que decide si todo esto sirve o no sirve.</w:t>
      </w:r>
    </w:p>
    <w:p>
      <w:pPr>
        <w:spacing w:after="160"/>
      </w:pPr>
      <w:r>
        <w:rPr>
          <w:b w:val="0"/>
          <w:i/>
          <w:color w:val="6B615B"/>
          <w:sz w:val="22"/>
        </w:rPr>
        <w:t>Esta frase es intencionalmente la misma con la que arranca «Guion del expositor — Sección del modelo»: es el punto de entrega entre los dos documentos. Leerla aquí y seguir directo con ese guion sin pausa larga.</w:t>
      </w:r>
    </w:p>
    <w:p>
      <w:pPr>
        <w:pStyle w:val="Heading1"/>
      </w:pPr>
      <w:r>
        <w:t>Anexo — Preguntas probables sobre la app</w:t>
      </w:r>
    </w:p>
    <w:p>
      <w:pPr>
        <w:pStyle w:val="Heading2"/>
      </w:pPr>
      <w:r>
        <w:t>¿Por qué el mapa gira a horizontal y el resto de la app no?</w:t>
      </w:r>
    </w:p>
    <w:p>
      <w:pPr>
        <w:spacing w:after="200" w:line="300" w:lineRule="auto"/>
        <w:ind w:left="504"/>
        <w:pBdr>
          <w:left w:val="single" w:sz="18" w:space="10" w:color="B85042"/>
        </w:pBdr>
      </w:pPr>
      <w:r>
        <w:rPr>
          <w:sz w:val="23"/>
        </w:rPr>
        <w:t>Es la única pantalla que lo hace, y es a propósito: el mapa se lee mejor con todo el ancho disponible. El resto de la app queda bloqueada en vertical porque son formularios y tarjetas, que no ganan nada con el giro.</w:t>
      </w:r>
    </w:p>
    <w:p>
      <w:pPr>
        <w:pStyle w:val="Heading2"/>
      </w:pPr>
      <w:r>
        <w:t>¿Funciona sin conexión?</w:t>
      </w:r>
    </w:p>
    <w:p>
      <w:pPr>
        <w:spacing w:after="200" w:line="300" w:lineRule="auto"/>
        <w:ind w:left="504"/>
        <w:pBdr>
          <w:left w:val="single" w:sz="18" w:space="10" w:color="B85042"/>
        </w:pBdr>
      </w:pPr>
      <w:r>
        <w:rPr>
          <w:sz w:val="23"/>
        </w:rPr>
        <w:t>Sí, tanto el diccionario como los juegos vienen precargados en la instalación y se sincronizan solos cuando hay red, sin que el niño tenga que pedirlo. Eso incluye la práctica de pronunciación: el modelo corre en el propio teléfono, no llama a ningún servidor.</w:t>
      </w:r>
    </w:p>
    <w:p>
      <w:pPr>
        <w:pStyle w:val="Heading2"/>
      </w:pPr>
      <w:r>
        <w:t>¿Todas las palabras del diccionario se pueden practicar en pronunciación?</w:t>
      </w:r>
    </w:p>
    <w:p>
      <w:pPr>
        <w:spacing w:after="200" w:line="300" w:lineRule="auto"/>
        <w:ind w:left="504"/>
        <w:pBdr>
          <w:left w:val="single" w:sz="18" w:space="10" w:color="B85042"/>
        </w:pBdr>
      </w:pPr>
      <w:r>
        <w:rPr>
          <w:sz w:val="23"/>
        </w:rPr>
        <w:t>No todas: la práctica de pronunciación cubre las palabras que el modelo tiene calibradas, un subconjunto del diccionario completo. Cuál y por qué se explica en la sección del modelo.</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B85042"/>
      <w:sz w:val="4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41C18"/>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A6B5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expositor - Sección de la aplicación</dc:title>
  <dc:subject/>
  <dc:creator>Jñatrjo</dc:creator>
  <cp:keywords/>
  <dc:description>generated by python-docx</dc:description>
  <cp:lastModifiedBy/>
  <cp:revision>1</cp:revision>
  <dcterms:created xsi:type="dcterms:W3CDTF">2013-12-23T23:15:00Z</dcterms:created>
  <dcterms:modified xsi:type="dcterms:W3CDTF">2013-12-23T23:15:00Z</dcterms:modified>
  <cp:category/>
</cp:coreProperties>
</file>