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0D968" w14:textId="429CCFBB" w:rsid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Proyecto 2 y 3 – Fase A: hallazgos del análisis exploratorio </w:t>
      </w:r>
    </w:p>
    <w:p w14:paraId="14DA0344" w14:textId="77777777" w:rsidR="009200B9" w:rsidRPr="009200B9" w:rsidRDefault="009200B9" w:rsidP="009200B9">
      <w:pPr>
        <w:rPr>
          <w:rFonts w:ascii="Times New Roman" w:hAnsi="Times New Roman" w:cs="Times New Roman"/>
        </w:rPr>
      </w:pPr>
    </w:p>
    <w:p w14:paraId="2A9161B2" w14:textId="77777777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Siniestralidad vial en Santiago de Cali, 2016–2024 </w:t>
      </w:r>
    </w:p>
    <w:p w14:paraId="265DA742" w14:textId="77777777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Trabajamos con la misma base del Proyecto 1: 371.003 reportes de siniestros viales atendidos en </w:t>
      </w:r>
    </w:p>
    <w:p w14:paraId="2B565961" w14:textId="5226EE66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>Cali entre enero de 2016 y noviembre de 2024</w:t>
      </w:r>
      <w:r w:rsidRPr="009200B9">
        <w:rPr>
          <w:rFonts w:ascii="Times New Roman" w:hAnsi="Times New Roman" w:cs="Times New Roman"/>
        </w:rPr>
        <w:t xml:space="preserve">.  </w:t>
      </w:r>
      <w:r w:rsidRPr="009200B9">
        <w:rPr>
          <w:rFonts w:ascii="Times New Roman" w:hAnsi="Times New Roman" w:cs="Times New Roman"/>
        </w:rPr>
        <w:t>Lo primero que encontramos es que el 66% de</w:t>
      </w:r>
      <w:r w:rsidRPr="009200B9">
        <w:rPr>
          <w:rFonts w:ascii="Times New Roman" w:hAnsi="Times New Roman" w:cs="Times New Roman"/>
        </w:rPr>
        <w:t xml:space="preserve"> </w:t>
      </w:r>
      <w:r w:rsidRPr="009200B9">
        <w:rPr>
          <w:rFonts w:ascii="Times New Roman" w:hAnsi="Times New Roman" w:cs="Times New Roman"/>
        </w:rPr>
        <w:t>esos reportes terminan como “</w:t>
      </w:r>
      <w:r w:rsidRPr="009200B9">
        <w:rPr>
          <w:rFonts w:ascii="Times New Roman" w:hAnsi="Times New Roman" w:cs="Times New Roman"/>
        </w:rPr>
        <w:t>Negativo</w:t>
      </w:r>
      <w:r w:rsidRPr="009200B9">
        <w:rPr>
          <w:rFonts w:ascii="Times New Roman" w:hAnsi="Times New Roman" w:cs="Times New Roman"/>
        </w:rPr>
        <w:t>”, o sea que la unidad llegó y no había un siniestro que</w:t>
      </w:r>
      <w:r w:rsidRPr="009200B9">
        <w:rPr>
          <w:rFonts w:ascii="Times New Roman" w:hAnsi="Times New Roman" w:cs="Times New Roman"/>
        </w:rPr>
        <w:t xml:space="preserve"> </w:t>
      </w:r>
    </w:p>
    <w:p w14:paraId="41D227B4" w14:textId="47080094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atender. Por eso el análisis lo hicimos sobre los 124.890 siniestros confirmados. La pregunta que </w:t>
      </w:r>
      <w:r>
        <w:rPr>
          <w:rFonts w:ascii="Times New Roman" w:hAnsi="Times New Roman" w:cs="Times New Roman"/>
        </w:rPr>
        <w:t>n</w:t>
      </w:r>
      <w:r w:rsidRPr="009200B9">
        <w:rPr>
          <w:rFonts w:ascii="Times New Roman" w:hAnsi="Times New Roman" w:cs="Times New Roman"/>
        </w:rPr>
        <w:t xml:space="preserve">os guía es qué se asocia con que un siniestro deje víctimas (lesionados o fallecidos). Estos son los tres hallazgos que más nos llamaron la atención. </w:t>
      </w:r>
    </w:p>
    <w:p w14:paraId="73328109" w14:textId="55B86A0E" w:rsid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1.  </w:t>
      </w:r>
      <w:r w:rsidRPr="009200B9">
        <w:rPr>
          <w:rFonts w:ascii="Times New Roman" w:hAnsi="Times New Roman" w:cs="Times New Roman"/>
        </w:rPr>
        <w:t>Los registros bajan, pero los muertos no</w:t>
      </w:r>
      <w:r w:rsidRPr="009200B9">
        <w:rPr>
          <w:rFonts w:ascii="Times New Roman" w:hAnsi="Times New Roman" w:cs="Times New Roman"/>
        </w:rPr>
        <w:t xml:space="preserve">.  </w:t>
      </w:r>
      <w:r w:rsidRPr="009200B9">
        <w:rPr>
          <w:rFonts w:ascii="Times New Roman" w:hAnsi="Times New Roman" w:cs="Times New Roman"/>
        </w:rPr>
        <w:t>Entre 2016 y 2023 el número de siniestros</w:t>
      </w:r>
      <w:r w:rsidRPr="009200B9">
        <w:rPr>
          <w:rFonts w:ascii="Times New Roman" w:hAnsi="Times New Roman" w:cs="Times New Roman"/>
        </w:rPr>
        <w:t xml:space="preserve"> registrados cayó a menos de la mitad. Casi toda esa caída viene de los choques de solo daños, que </w:t>
      </w:r>
      <w:r w:rsidRPr="009200B9">
        <w:rPr>
          <w:rFonts w:ascii="Times New Roman" w:hAnsi="Times New Roman" w:cs="Times New Roman"/>
        </w:rPr>
        <w:t>pasaron de cerca de 17.000 en 2019 a apenas 566 en 2023</w:t>
      </w:r>
      <w:r w:rsidRPr="009200B9">
        <w:rPr>
          <w:rFonts w:ascii="Times New Roman" w:hAnsi="Times New Roman" w:cs="Times New Roman"/>
        </w:rPr>
        <w:t xml:space="preserve">.  </w:t>
      </w:r>
      <w:r w:rsidRPr="009200B9">
        <w:rPr>
          <w:rFonts w:ascii="Times New Roman" w:hAnsi="Times New Roman" w:cs="Times New Roman"/>
        </w:rPr>
        <w:t>Esto coincide con la Ley 2251 de</w:t>
      </w:r>
      <w:r w:rsidRPr="009200B9">
        <w:rPr>
          <w:rFonts w:ascii="Times New Roman" w:hAnsi="Times New Roman" w:cs="Times New Roman"/>
        </w:rPr>
        <w:t xml:space="preserve"> </w:t>
      </w:r>
      <w:r w:rsidRPr="009200B9">
        <w:rPr>
          <w:rFonts w:ascii="Times New Roman" w:hAnsi="Times New Roman" w:cs="Times New Roman"/>
        </w:rPr>
        <w:t>2022, que permite que los conductores arreglen entre ellos los choques simples sin llamar a un</w:t>
      </w:r>
      <w:r w:rsidRPr="009200B9">
        <w:rPr>
          <w:rFonts w:ascii="Times New Roman" w:hAnsi="Times New Roman" w:cs="Times New Roman"/>
        </w:rPr>
        <w:t xml:space="preserve"> agente. Los siniestros con fallecido, en cambio, se mantuvieron entre 360 y 450 por año en todo </w:t>
      </w:r>
      <w:r w:rsidRPr="009200B9">
        <w:rPr>
          <w:rFonts w:ascii="Times New Roman" w:hAnsi="Times New Roman" w:cs="Times New Roman"/>
        </w:rPr>
        <w:t>el periodo</w:t>
      </w:r>
      <w:r w:rsidRPr="009200B9">
        <w:rPr>
          <w:rFonts w:ascii="Times New Roman" w:hAnsi="Times New Roman" w:cs="Times New Roman"/>
        </w:rPr>
        <w:t xml:space="preserve">. </w:t>
      </w:r>
    </w:p>
    <w:p w14:paraId="7BEB8F16" w14:textId="03C21F0B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 </w:t>
      </w:r>
      <w:r w:rsidRPr="009200B9">
        <w:rPr>
          <w:rFonts w:ascii="Times New Roman" w:hAnsi="Times New Roman" w:cs="Times New Roman"/>
        </w:rPr>
        <w:t>Si alguien mira solo el total, podría pensar que la ciudad es más segura, cuando la</w:t>
      </w:r>
      <w:r w:rsidRPr="009200B9">
        <w:rPr>
          <w:rFonts w:ascii="Times New Roman" w:hAnsi="Times New Roman" w:cs="Times New Roman"/>
        </w:rPr>
        <w:t xml:space="preserve"> cifra que más importa no se ha movido. En la correlación diaria se ve lo mismo: los días con más choques no son los días con más muertes (r = 0,12). </w:t>
      </w:r>
    </w:p>
    <w:p w14:paraId="61459654" w14:textId="49575850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2. Con moto de por medio, el riesgo de lesión casi se triplica. Cuando en el siniestro participa una motocicleta, el 65% deja lesionados; cuando no hay moto, solo el 23%. Autos y motos suman </w:t>
      </w:r>
      <w:proofErr w:type="gramStart"/>
      <w:r w:rsidRPr="009200B9">
        <w:rPr>
          <w:rFonts w:ascii="Times New Roman" w:hAnsi="Times New Roman" w:cs="Times New Roman"/>
        </w:rPr>
        <w:t>el  83</w:t>
      </w:r>
      <w:proofErr w:type="gramEnd"/>
      <w:r w:rsidRPr="009200B9">
        <w:rPr>
          <w:rFonts w:ascii="Times New Roman" w:hAnsi="Times New Roman" w:cs="Times New Roman"/>
        </w:rPr>
        <w:t xml:space="preserve">%  de  todos  los  vehículos  implicados,  así  que  son  el  foco  natural  de  cualquier  campaña. </w:t>
      </w:r>
    </w:p>
    <w:p w14:paraId="590DDA4C" w14:textId="588E2D91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También pesa </w:t>
      </w:r>
      <w:proofErr w:type="gramStart"/>
      <w:r w:rsidRPr="009200B9">
        <w:rPr>
          <w:rFonts w:ascii="Times New Roman" w:hAnsi="Times New Roman" w:cs="Times New Roman"/>
        </w:rPr>
        <w:t>el</w:t>
      </w:r>
      <w:r w:rsidRPr="009200B9">
        <w:rPr>
          <w:rFonts w:ascii="Times New Roman" w:hAnsi="Times New Roman" w:cs="Times New Roman"/>
        </w:rPr>
        <w:t xml:space="preserve">  </w:t>
      </w:r>
      <w:r w:rsidRPr="009200B9">
        <w:rPr>
          <w:rFonts w:ascii="Times New Roman" w:hAnsi="Times New Roman" w:cs="Times New Roman"/>
        </w:rPr>
        <w:t>tipo</w:t>
      </w:r>
      <w:proofErr w:type="gramEnd"/>
      <w:r w:rsidRPr="009200B9">
        <w:rPr>
          <w:rFonts w:ascii="Times New Roman" w:hAnsi="Times New Roman" w:cs="Times New Roman"/>
        </w:rPr>
        <w:t xml:space="preserve"> de</w:t>
      </w:r>
      <w:r w:rsidRPr="009200B9">
        <w:rPr>
          <w:rFonts w:ascii="Times New Roman" w:hAnsi="Times New Roman" w:cs="Times New Roman"/>
        </w:rPr>
        <w:t xml:space="preserve">  accidente:  desde  2021,  que  es  cuando  ese  campo  se  llena  bien,  los atropellos tuvieron fallecidos en el 8% de los casos y los volcamientos en el 11%, frente a un 2% en los choques. Peatones y motociclistas son los actores más expuestos. </w:t>
      </w:r>
    </w:p>
    <w:p w14:paraId="3B2D587E" w14:textId="196A5252" w:rsidR="009200B9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3.  </w:t>
      </w:r>
      <w:r w:rsidRPr="009200B9">
        <w:rPr>
          <w:rFonts w:ascii="Times New Roman" w:hAnsi="Times New Roman" w:cs="Times New Roman"/>
        </w:rPr>
        <w:t xml:space="preserve">El domingo hay menos siniestros, pero </w:t>
      </w:r>
      <w:proofErr w:type="gramStart"/>
      <w:r w:rsidRPr="009200B9">
        <w:rPr>
          <w:rFonts w:ascii="Times New Roman" w:hAnsi="Times New Roman" w:cs="Times New Roman"/>
        </w:rPr>
        <w:t>son</w:t>
      </w:r>
      <w:r w:rsidRPr="009200B9">
        <w:rPr>
          <w:rFonts w:ascii="Times New Roman" w:hAnsi="Times New Roman" w:cs="Times New Roman"/>
        </w:rPr>
        <w:t xml:space="preserve">  más</w:t>
      </w:r>
      <w:proofErr w:type="gramEnd"/>
      <w:r w:rsidRPr="009200B9">
        <w:rPr>
          <w:rFonts w:ascii="Times New Roman" w:hAnsi="Times New Roman" w:cs="Times New Roman"/>
        </w:rPr>
        <w:t xml:space="preserve">  graves.  </w:t>
      </w:r>
      <w:r w:rsidRPr="009200B9">
        <w:rPr>
          <w:rFonts w:ascii="Times New Roman" w:hAnsi="Times New Roman" w:cs="Times New Roman"/>
        </w:rPr>
        <w:t xml:space="preserve">El domingo es </w:t>
      </w:r>
      <w:proofErr w:type="gramStart"/>
      <w:r w:rsidRPr="009200B9">
        <w:rPr>
          <w:rFonts w:ascii="Times New Roman" w:hAnsi="Times New Roman" w:cs="Times New Roman"/>
        </w:rPr>
        <w:t>el</w:t>
      </w:r>
      <w:r w:rsidRPr="009200B9">
        <w:rPr>
          <w:rFonts w:ascii="Times New Roman" w:hAnsi="Times New Roman" w:cs="Times New Roman"/>
        </w:rPr>
        <w:t xml:space="preserve">  día</w:t>
      </w:r>
      <w:proofErr w:type="gramEnd"/>
      <w:r w:rsidRPr="009200B9">
        <w:rPr>
          <w:rFonts w:ascii="Times New Roman" w:hAnsi="Times New Roman" w:cs="Times New Roman"/>
        </w:rPr>
        <w:t xml:space="preserve">  con  menos casos (unos 30 diarios contra unos 40 entre semana), pero la mitad deja víctimas y el 4% tiene al menos un fallecido, mientras que de lunes a viernes ese porcentaje está entre 2,2% y 3%. Nuestra hipótesis es que con las vías más vacías se maneja más rápido y que también influye el consumo de alcohol del fin de semana, aunque la base no trae datos para comprobarlo. </w:t>
      </w:r>
    </w:p>
    <w:p w14:paraId="4083AC6F" w14:textId="2097183E" w:rsidR="007865A8" w:rsidRPr="009200B9" w:rsidRDefault="009200B9" w:rsidP="009200B9">
      <w:pPr>
        <w:rPr>
          <w:rFonts w:ascii="Times New Roman" w:hAnsi="Times New Roman" w:cs="Times New Roman"/>
        </w:rPr>
      </w:pPr>
      <w:r w:rsidRPr="009200B9">
        <w:rPr>
          <w:rFonts w:ascii="Times New Roman" w:hAnsi="Times New Roman" w:cs="Times New Roman"/>
        </w:rPr>
        <w:t xml:space="preserve">Qué implica para lo que sigue. La calidad de los datos cambia mucho según el año: el medio de reporte casi no existe antes de 2021, la dirección falta entre 2018 y 2020 y más de la mitad de los </w:t>
      </w:r>
      <w:r w:rsidRPr="009200B9">
        <w:rPr>
          <w:rFonts w:ascii="Times New Roman" w:hAnsi="Times New Roman" w:cs="Times New Roman"/>
        </w:rPr>
        <w:t xml:space="preserve">registros </w:t>
      </w:r>
      <w:proofErr w:type="gramStart"/>
      <w:r w:rsidRPr="009200B9">
        <w:rPr>
          <w:rFonts w:ascii="Times New Roman" w:hAnsi="Times New Roman" w:cs="Times New Roman"/>
        </w:rPr>
        <w:t>no</w:t>
      </w:r>
      <w:r w:rsidRPr="009200B9">
        <w:rPr>
          <w:rFonts w:ascii="Times New Roman" w:hAnsi="Times New Roman" w:cs="Times New Roman"/>
        </w:rPr>
        <w:t xml:space="preserve">  trae</w:t>
      </w:r>
      <w:proofErr w:type="gramEnd"/>
      <w:r w:rsidRPr="009200B9">
        <w:rPr>
          <w:rFonts w:ascii="Times New Roman" w:hAnsi="Times New Roman" w:cs="Times New Roman"/>
        </w:rPr>
        <w:t xml:space="preserve">  el  tipo  de  vehículo.  </w:t>
      </w:r>
      <w:r w:rsidRPr="009200B9">
        <w:rPr>
          <w:rFonts w:ascii="Times New Roman" w:hAnsi="Times New Roman" w:cs="Times New Roman"/>
        </w:rPr>
        <w:t xml:space="preserve">En </w:t>
      </w:r>
      <w:proofErr w:type="gramStart"/>
      <w:r w:rsidRPr="009200B9">
        <w:rPr>
          <w:rFonts w:ascii="Times New Roman" w:hAnsi="Times New Roman" w:cs="Times New Roman"/>
        </w:rPr>
        <w:t>la</w:t>
      </w:r>
      <w:r w:rsidRPr="009200B9">
        <w:rPr>
          <w:rFonts w:ascii="Times New Roman" w:hAnsi="Times New Roman" w:cs="Times New Roman"/>
        </w:rPr>
        <w:t xml:space="preserve">  Fase</w:t>
      </w:r>
      <w:proofErr w:type="gramEnd"/>
      <w:r w:rsidRPr="009200B9">
        <w:rPr>
          <w:rFonts w:ascii="Times New Roman" w:hAnsi="Times New Roman" w:cs="Times New Roman"/>
        </w:rPr>
        <w:t xml:space="preserve">  B  la  imputación  tiene  que  tener  en  cuenta  el periodo y no solo la columna. Para la Fase C proponemos predecir si un siniestro confirmado deja víctimas, usando la participación de moto, el día de la semana, el número de vehículos, el mes y el tipo de accidente.</w:t>
      </w:r>
    </w:p>
    <w:sectPr w:rsidR="007865A8" w:rsidRPr="009200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B9"/>
    <w:rsid w:val="007865A8"/>
    <w:rsid w:val="0092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72241"/>
  <w15:chartTrackingRefBased/>
  <w15:docId w15:val="{FDEECD51-DA24-4C59-B927-2E310881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0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449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Imparato</dc:creator>
  <cp:keywords/>
  <dc:description/>
  <cp:lastModifiedBy>Leonardo Imparato</cp:lastModifiedBy>
  <cp:revision>1</cp:revision>
  <dcterms:created xsi:type="dcterms:W3CDTF">2026-10-11T15:53:00Z</dcterms:created>
  <dcterms:modified xsi:type="dcterms:W3CDTF">2026-10-11T15:59:00Z</dcterms:modified>
</cp:coreProperties>
</file>