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Proyecto Kanban</w:t>
      </w:r>
    </w:p>
    <w:p>
      <w:r>
        <w:rPr>
          <w:rFonts w:ascii="Aptos Display" w:hAnsi="Aptos Display"/>
          <w:b/>
          <w:color w:val="365F91"/>
          <w:sz w:val="34"/>
        </w:rPr>
        <w:t>Arquitectura técnica · v0.1</w:t>
      </w:r>
    </w:p>
    <w:p>
      <w:r>
        <w:rPr>
          <w:i/>
          <w:color w:val="595959"/>
          <w:sz w:val="22"/>
        </w:rPr>
        <w:t>Baseline técnica previa a la construcción</w:t>
      </w:r>
    </w:p>
    <w:p>
      <w:r/>
    </w:p>
    <w:p>
      <w:r>
        <w:rPr>
          <w:b/>
        </w:rPr>
        <w:t>Estado: arquitectura base consolidada</w:t>
      </w:r>
    </w:p>
    <w:p>
      <w:r>
        <w:t>Este documento complementa la Especificación funcional y de dominio v0.3. Define las decisiones técnicas que condicionan el arranque y la evolución inicial de la aplicación, evitando fijar prematuramente detalles que se decidirán mejor durante la implementación.</w:t>
      </w:r>
    </w:p>
    <w:p>
      <w:pPr>
        <w:pStyle w:val="Heading1"/>
      </w:pPr>
      <w:r>
        <w:t>1. Objetivo del documento</w:t>
      </w:r>
    </w:p>
    <w:p>
      <w:r>
        <w:t>El objetivo de este documento es establecer una base técnica coherente para construir Proyecto Kanban. Recoge las decisiones arquitectónicas ya consolidadas, las tecnologías principales, las convenciones de integración entre frontend y backend y los criterios de seguridad, persistencia, calidad y despliegue.</w:t>
      </w:r>
    </w:p>
    <w:p>
      <w:r>
        <w:t>La arquitectura se plantea para un MVP real, desplegable y mantenible, pero también como proyecto de aprendizaje. Se prioriza la simplicidad operativa y la claridad del diseño frente a la incorporación de tecnologías que no resuelvan una necesidad concreta.</w:t>
      </w:r>
    </w:p>
    <w:p>
      <w:pPr>
        <w:pStyle w:val="Heading1"/>
      </w:pPr>
      <w:r>
        <w:t>2. Principios de arquitectura</w:t>
      </w:r>
    </w:p>
    <w:p>
      <w:pPr>
        <w:pStyle w:val="ListBullet"/>
      </w:pPr>
      <w:r>
        <w:t>Simplicidad antes que distribución innecesaria: no se introducirán microservicios ni infraestructura adicional sin una necesidad real.</w:t>
      </w:r>
    </w:p>
    <w:p>
      <w:pPr>
        <w:pStyle w:val="ListBullet"/>
      </w:pPr>
      <w:r>
        <w:t>Separación por responsabilidades y módulos de negocio, evitando dependencias innecesarias entre funcionalidades.</w:t>
      </w:r>
    </w:p>
    <w:p>
      <w:pPr>
        <w:pStyle w:val="ListBullet"/>
      </w:pPr>
      <w:r>
        <w:t>Arquitectura hexagonal pragmática: se aplicarán puertos y adaptadores donde aporten desacoplamiento real, sin crear abstracciones por formalismo.</w:t>
      </w:r>
    </w:p>
    <w:p>
      <w:pPr>
        <w:pStyle w:val="ListBullet"/>
      </w:pPr>
      <w:r>
        <w:t>Contratos de API independientes de las entidades de persistencia.</w:t>
      </w:r>
    </w:p>
    <w:p>
      <w:pPr>
        <w:pStyle w:val="ListBullet"/>
      </w:pPr>
      <w:r>
        <w:t>Persistencia relacional como base del dominio, con libertad para utilizar consultas específicas cuando JPA no sea la opción más adecuada.</w:t>
      </w:r>
    </w:p>
    <w:p>
      <w:pPr>
        <w:pStyle w:val="ListBullet"/>
      </w:pPr>
      <w:r>
        <w:t>Seguridad aplicada en backend y por defecto, sin confiar en restricciones de interfaz.</w:t>
      </w:r>
    </w:p>
    <w:p>
      <w:pPr>
        <w:pStyle w:val="ListBullet"/>
      </w:pPr>
      <w:r>
        <w:t>Fluidez de uso como prioridad en el tablero Kanban, minimizando esperas perceptibles.</w:t>
      </w:r>
    </w:p>
    <w:p>
      <w:pPr>
        <w:pStyle w:val="ListBullet"/>
      </w:pPr>
      <w:r>
        <w:t>Configuración externalizada y aplicación preparada para ejecutarse en distintos entornos sin cambios de código.</w:t>
      </w:r>
    </w:p>
    <w:p>
      <w:pPr>
        <w:pStyle w:val="ListBullet"/>
      </w:pPr>
      <w:r>
        <w:t>Automatización de pruebas y compilación como parte del flujo normal de desarrollo.</w:t>
      </w:r>
    </w:p>
    <w:p>
      <w:pPr>
        <w:pStyle w:val="Heading1"/>
      </w:pPr>
      <w:r>
        <w:t>3. Arquitectura general</w:t>
      </w:r>
    </w:p>
    <w:p>
      <w:pPr>
        <w:pStyle w:val="Heading2"/>
      </w:pPr>
      <w:r>
        <w:t>3.1 Estilo de sistema</w:t>
      </w:r>
    </w:p>
    <w:p>
      <w:r>
        <w:t>El MVP se implementará como un monolito modular. El backend se desplegará como una única aplicación Spring Boot, pero se organizará internamente en módulos con responsabilidades claras. La comunicación entre módulos será interna al proceso; no se utilizarán microservicios en esta fase.</w:t>
      </w:r>
    </w:p>
    <w:p>
      <w:pPr>
        <w:pStyle w:val="DomainBlock"/>
      </w:pPr>
      <w:r>
        <w:t>Angular / TypeScript</w:t>
      </w:r>
    </w:p>
    <w:p>
      <w:pPr>
        <w:pStyle w:val="DomainBlock"/>
      </w:pPr>
      <w:r>
        <w:t xml:space="preserve">        │</w:t>
      </w:r>
    </w:p>
    <w:p>
      <w:pPr>
        <w:pStyle w:val="DomainBlock"/>
      </w:pPr>
      <w:r>
        <w:t xml:space="preserve">    REST / JSON</w:t>
      </w:r>
    </w:p>
    <w:p>
      <w:pPr>
        <w:pStyle w:val="DomainBlock"/>
      </w:pPr>
      <w:r>
        <w:t xml:space="preserve">        │</w:t>
      </w:r>
    </w:p>
    <w:p>
      <w:pPr>
        <w:pStyle w:val="DomainBlock"/>
      </w:pPr>
      <w:r>
        <w:t>Spring Boot / Java 25</w:t>
      </w:r>
    </w:p>
    <w:p>
      <w:pPr>
        <w:pStyle w:val="DomainBlock"/>
      </w:pPr>
      <w:r>
        <w:t xml:space="preserve"> identity · projects · boards · tasks</w:t>
      </w:r>
    </w:p>
    <w:p>
      <w:pPr>
        <w:pStyle w:val="DomainBlock"/>
      </w:pPr>
      <w:r>
        <w:t xml:space="preserve">        │</w:t>
      </w:r>
    </w:p>
    <w:p>
      <w:pPr>
        <w:pStyle w:val="DomainBlock"/>
      </w:pPr>
      <w:r>
        <w:t>JPA / Hibernate / SQL</w:t>
      </w:r>
    </w:p>
    <w:p>
      <w:pPr>
        <w:pStyle w:val="DomainBlock"/>
      </w:pPr>
      <w:r>
        <w:t xml:space="preserve">        │</w:t>
      </w:r>
    </w:p>
    <w:p>
      <w:pPr>
        <w:pStyle w:val="DomainBlock"/>
      </w:pPr>
      <w:r>
        <w:t xml:space="preserve">    PostgreSQL</w:t>
      </w:r>
    </w:p>
    <w:p>
      <w:r>
        <w:t>La extracción futura de un módulo a un servicio independiente solo se valorará si aparecen necesidades reales de despliegue, escalado, aislamiento o evolución independiente.</w:t>
      </w:r>
    </w:p>
    <w:p>
      <w:pPr>
        <w:pStyle w:val="Heading2"/>
      </w:pPr>
      <w:r>
        <w:t>3.2 Organización interna del backend</w:t>
      </w:r>
    </w:p>
    <w:p>
      <w:r>
        <w:t>Cada módulo seguirá una organización hexagonal pragmática. La aplicación distinguirá API, casos de uso, dominio e infraestructura, manteniendo las dependencias orientadas hacia el comportamiento de negocio.</w:t>
      </w:r>
    </w:p>
    <w:p>
      <w:pPr>
        <w:pStyle w:val="DomainBlock"/>
      </w:pPr>
      <w:r>
        <w:t>tasks/</w:t>
      </w:r>
    </w:p>
    <w:p>
      <w:pPr>
        <w:pStyle w:val="DomainBlock"/>
      </w:pPr>
      <w:r>
        <w:t>├── domain/</w:t>
      </w:r>
    </w:p>
    <w:p>
      <w:pPr>
        <w:pStyle w:val="DomainBlock"/>
      </w:pPr>
      <w:r>
        <w:t>├── application/</w:t>
      </w:r>
    </w:p>
    <w:p>
      <w:pPr>
        <w:pStyle w:val="DomainBlock"/>
      </w:pPr>
      <w:r>
        <w:t>├── infrastructure/</w:t>
      </w:r>
    </w:p>
    <w:p>
      <w:pPr>
        <w:pStyle w:val="DomainBlock"/>
      </w:pPr>
      <w:r>
        <w:t>└── api/</w:t>
      </w:r>
    </w:p>
    <w:p>
      <w:r>
        <w:t>Los puertos se introducirán en fronteras significativas, como repositorios, envío de correo o servicios criptográficos. No se crearán interfaces para lógica trivial únicamente para mantener una forma arquitectónica.</w:t>
      </w:r>
    </w:p>
    <w:p>
      <w:pPr>
        <w:pStyle w:val="Heading2"/>
      </w:pPr>
      <w:r>
        <w:t>3.3 Módulos iniciales</w:t>
      </w:r>
    </w:p>
    <w:tbl>
      <w:tblPr>
        <w:tblStyle w:val="TableGrid"/>
        <w:tblW w:type="auto" w:w="0"/>
        <w:jc w:val="center"/>
        <w:tblLook w:firstColumn="1" w:firstRow="1" w:lastColumn="0" w:lastRow="0" w:noHBand="0" w:noVBand="1" w:val="04A0"/>
      </w:tblPr>
      <w:tblGrid>
        <w:gridCol w:w="4873"/>
        <w:gridCol w:w="4873"/>
      </w:tblGrid>
      <w:tr>
        <w:tc>
          <w:tcPr>
            <w:tcW w:type="dxa" w:w="4873"/>
            <w:shd w:fill="D9EAF7"/>
            <w:vAlign w:val="center"/>
          </w:tcPr>
          <w:p>
            <w:r>
              <w:rPr>
                <w:rFonts w:ascii="Aptos" w:hAnsi="Aptos"/>
                <w:b/>
                <w:sz w:val="18"/>
              </w:rPr>
              <w:t>Módulo</w:t>
            </w:r>
          </w:p>
        </w:tc>
        <w:tc>
          <w:tcPr>
            <w:tcW w:type="dxa" w:w="4873"/>
            <w:shd w:fill="D9EAF7"/>
            <w:vAlign w:val="center"/>
          </w:tcPr>
          <w:p>
            <w:r>
              <w:rPr>
                <w:rFonts w:ascii="Aptos" w:hAnsi="Aptos"/>
                <w:b/>
                <w:sz w:val="18"/>
              </w:rPr>
              <w:t>Responsabilidad principal</w:t>
            </w:r>
          </w:p>
        </w:tc>
      </w:tr>
      <w:tr>
        <w:tc>
          <w:tcPr>
            <w:tcW w:type="dxa" w:w="4873"/>
            <w:vAlign w:val="center"/>
          </w:tcPr>
          <w:p>
            <w:pPr>
              <w:spacing w:after="40"/>
            </w:pPr>
            <w:r>
              <w:rPr>
                <w:rFonts w:ascii="Aptos" w:hAnsi="Aptos"/>
                <w:sz w:val="17"/>
              </w:rPr>
              <w:t>identity</w:t>
            </w:r>
          </w:p>
        </w:tc>
        <w:tc>
          <w:tcPr>
            <w:tcW w:type="dxa" w:w="4873"/>
            <w:vAlign w:val="center"/>
          </w:tcPr>
          <w:p>
            <w:pPr>
              <w:spacing w:after="40"/>
            </w:pPr>
            <w:r>
              <w:rPr>
                <w:rFonts w:ascii="Aptos" w:hAnsi="Aptos"/>
                <w:sz w:val="17"/>
              </w:rPr>
              <w:t>Usuario, autenticación, verificación de email y recuperación de contraseña.</w:t>
            </w:r>
          </w:p>
        </w:tc>
      </w:tr>
      <w:tr>
        <w:tc>
          <w:tcPr>
            <w:tcW w:type="dxa" w:w="4873"/>
            <w:vAlign w:val="center"/>
          </w:tcPr>
          <w:p>
            <w:pPr>
              <w:spacing w:after="40"/>
            </w:pPr>
            <w:r>
              <w:rPr>
                <w:rFonts w:ascii="Aptos" w:hAnsi="Aptos"/>
                <w:sz w:val="17"/>
              </w:rPr>
              <w:t>projects</w:t>
            </w:r>
          </w:p>
        </w:tc>
        <w:tc>
          <w:tcPr>
            <w:tcW w:type="dxa" w:w="4873"/>
            <w:vAlign w:val="center"/>
          </w:tcPr>
          <w:p>
            <w:pPr>
              <w:spacing w:after="40"/>
            </w:pPr>
            <w:r>
              <w:rPr>
                <w:rFonts w:ascii="Aptos" w:hAnsi="Aptos"/>
                <w:sz w:val="17"/>
              </w:rPr>
              <w:t>Proyecto, membresías, invitaciones y administración del espacio de trabajo.</w:t>
            </w:r>
          </w:p>
        </w:tc>
      </w:tr>
      <w:tr>
        <w:tc>
          <w:tcPr>
            <w:tcW w:type="dxa" w:w="4873"/>
            <w:vAlign w:val="center"/>
          </w:tcPr>
          <w:p>
            <w:pPr>
              <w:spacing w:after="40"/>
            </w:pPr>
            <w:r>
              <w:rPr>
                <w:rFonts w:ascii="Aptos" w:hAnsi="Aptos"/>
                <w:sz w:val="17"/>
              </w:rPr>
              <w:t>boards</w:t>
            </w:r>
          </w:p>
        </w:tc>
        <w:tc>
          <w:tcPr>
            <w:tcW w:type="dxa" w:w="4873"/>
            <w:vAlign w:val="center"/>
          </w:tcPr>
          <w:p>
            <w:pPr>
              <w:spacing w:after="40"/>
            </w:pPr>
            <w:r>
              <w:rPr>
                <w:rFonts w:ascii="Aptos" w:hAnsi="Aptos"/>
                <w:sz w:val="17"/>
              </w:rPr>
              <w:t>Tableros y columnas del flujo Kanban.</w:t>
            </w:r>
          </w:p>
        </w:tc>
      </w:tr>
      <w:tr>
        <w:tc>
          <w:tcPr>
            <w:tcW w:type="dxa" w:w="4873"/>
            <w:vAlign w:val="center"/>
          </w:tcPr>
          <w:p>
            <w:pPr>
              <w:spacing w:after="40"/>
            </w:pPr>
            <w:r>
              <w:rPr>
                <w:rFonts w:ascii="Aptos" w:hAnsi="Aptos"/>
                <w:sz w:val="17"/>
              </w:rPr>
              <w:t>tasks</w:t>
            </w:r>
          </w:p>
        </w:tc>
        <w:tc>
          <w:tcPr>
            <w:tcW w:type="dxa" w:w="4873"/>
            <w:vAlign w:val="center"/>
          </w:tcPr>
          <w:p>
            <w:pPr>
              <w:spacing w:after="40"/>
            </w:pPr>
            <w:r>
              <w:rPr>
                <w:rFonts w:ascii="Aptos" w:hAnsi="Aptos"/>
                <w:sz w:val="17"/>
              </w:rPr>
              <w:t>Tareas, checklist, comentarios y comportamiento asociado a la ejecución del trabajo.</w:t>
            </w:r>
          </w:p>
        </w:tc>
      </w:tr>
    </w:tbl>
    <w:p>
      <w:r/>
    </w:p>
    <w:p>
      <w:r>
        <w:t>La ubicación definitiva de elementos transversales o compartidos, como Label, se resolverá durante el diseño detallado del código evitando dependencias circulares.</w:t>
      </w:r>
    </w:p>
    <w:p>
      <w:pPr>
        <w:pStyle w:val="Heading1"/>
      </w:pPr>
      <w:r>
        <w:t>4. Stack tecnológico</w:t>
      </w:r>
    </w:p>
    <w:tbl>
      <w:tblPr>
        <w:tblStyle w:val="TableGrid"/>
        <w:tblW w:type="auto" w:w="0"/>
        <w:jc w:val="center"/>
        <w:tblLook w:firstColumn="1" w:firstRow="1" w:lastColumn="0" w:lastRow="0" w:noHBand="0" w:noVBand="1" w:val="04A0"/>
      </w:tblPr>
      <w:tblGrid>
        <w:gridCol w:w="4873"/>
        <w:gridCol w:w="4873"/>
      </w:tblGrid>
      <w:tr>
        <w:tc>
          <w:tcPr>
            <w:tcW w:type="dxa" w:w="4873"/>
            <w:shd w:fill="D9EAF7"/>
            <w:vAlign w:val="center"/>
          </w:tcPr>
          <w:p>
            <w:r>
              <w:rPr>
                <w:rFonts w:ascii="Aptos" w:hAnsi="Aptos"/>
                <w:b/>
                <w:sz w:val="18"/>
              </w:rPr>
              <w:t>Área</w:t>
            </w:r>
          </w:p>
        </w:tc>
        <w:tc>
          <w:tcPr>
            <w:tcW w:type="dxa" w:w="4873"/>
            <w:shd w:fill="D9EAF7"/>
            <w:vAlign w:val="center"/>
          </w:tcPr>
          <w:p>
            <w:r>
              <w:rPr>
                <w:rFonts w:ascii="Aptos" w:hAnsi="Aptos"/>
                <w:b/>
                <w:sz w:val="18"/>
              </w:rPr>
              <w:t>Decisión</w:t>
            </w:r>
          </w:p>
        </w:tc>
      </w:tr>
      <w:tr>
        <w:tc>
          <w:tcPr>
            <w:tcW w:type="dxa" w:w="4873"/>
            <w:vAlign w:val="center"/>
          </w:tcPr>
          <w:p>
            <w:pPr>
              <w:spacing w:after="40"/>
            </w:pPr>
            <w:r>
              <w:rPr>
                <w:rFonts w:ascii="Aptos" w:hAnsi="Aptos"/>
                <w:sz w:val="17"/>
              </w:rPr>
              <w:t>Backend</w:t>
            </w:r>
          </w:p>
        </w:tc>
        <w:tc>
          <w:tcPr>
            <w:tcW w:type="dxa" w:w="4873"/>
            <w:vAlign w:val="center"/>
          </w:tcPr>
          <w:p>
            <w:pPr>
              <w:spacing w:after="40"/>
            </w:pPr>
            <w:r>
              <w:rPr>
                <w:rFonts w:ascii="Aptos" w:hAnsi="Aptos"/>
                <w:sz w:val="17"/>
              </w:rPr>
              <w:t>Java 25 LTS sobre OpenJDK; Spring Boot 4.x / Spring Framework 7.x; Maven.</w:t>
            </w:r>
          </w:p>
        </w:tc>
      </w:tr>
      <w:tr>
        <w:tc>
          <w:tcPr>
            <w:tcW w:type="dxa" w:w="4873"/>
            <w:vAlign w:val="center"/>
          </w:tcPr>
          <w:p>
            <w:pPr>
              <w:spacing w:after="40"/>
            </w:pPr>
            <w:r>
              <w:rPr>
                <w:rFonts w:ascii="Aptos" w:hAnsi="Aptos"/>
                <w:sz w:val="17"/>
              </w:rPr>
              <w:t>Frontend</w:t>
            </w:r>
          </w:p>
        </w:tc>
        <w:tc>
          <w:tcPr>
            <w:tcW w:type="dxa" w:w="4873"/>
            <w:vAlign w:val="center"/>
          </w:tcPr>
          <w:p>
            <w:pPr>
              <w:spacing w:after="40"/>
            </w:pPr>
            <w:r>
              <w:rPr>
                <w:rFonts w:ascii="Aptos" w:hAnsi="Aptos"/>
                <w:sz w:val="17"/>
              </w:rPr>
              <w:t>Angular + TypeScript; PrimeNG; estilos propios ligeros con CSS/SCSS.</w:t>
            </w:r>
          </w:p>
        </w:tc>
      </w:tr>
      <w:tr>
        <w:tc>
          <w:tcPr>
            <w:tcW w:type="dxa" w:w="4873"/>
            <w:vAlign w:val="center"/>
          </w:tcPr>
          <w:p>
            <w:pPr>
              <w:spacing w:after="40"/>
            </w:pPr>
            <w:r>
              <w:rPr>
                <w:rFonts w:ascii="Aptos" w:hAnsi="Aptos"/>
                <w:sz w:val="17"/>
              </w:rPr>
              <w:t>Estado frontend</w:t>
            </w:r>
          </w:p>
        </w:tc>
        <w:tc>
          <w:tcPr>
            <w:tcW w:type="dxa" w:w="4873"/>
            <w:vAlign w:val="center"/>
          </w:tcPr>
          <w:p>
            <w:pPr>
              <w:spacing w:after="40"/>
            </w:pPr>
            <w:r>
              <w:rPr>
                <w:rFonts w:ascii="Aptos" w:hAnsi="Aptos"/>
                <w:sz w:val="17"/>
              </w:rPr>
              <w:t>HttpClient + RxJS + Signals. NgRx no se utilizará inicialmente.</w:t>
            </w:r>
          </w:p>
        </w:tc>
      </w:tr>
      <w:tr>
        <w:tc>
          <w:tcPr>
            <w:tcW w:type="dxa" w:w="4873"/>
            <w:vAlign w:val="center"/>
          </w:tcPr>
          <w:p>
            <w:pPr>
              <w:spacing w:after="40"/>
            </w:pPr>
            <w:r>
              <w:rPr>
                <w:rFonts w:ascii="Aptos" w:hAnsi="Aptos"/>
                <w:sz w:val="17"/>
              </w:rPr>
              <w:t>Base de datos</w:t>
            </w:r>
          </w:p>
        </w:tc>
        <w:tc>
          <w:tcPr>
            <w:tcW w:type="dxa" w:w="4873"/>
            <w:vAlign w:val="center"/>
          </w:tcPr>
          <w:p>
            <w:pPr>
              <w:spacing w:after="40"/>
            </w:pPr>
            <w:r>
              <w:rPr>
                <w:rFonts w:ascii="Aptos" w:hAnsi="Aptos"/>
                <w:sz w:val="17"/>
              </w:rPr>
              <w:t>PostgreSQL.</w:t>
            </w:r>
          </w:p>
        </w:tc>
      </w:tr>
      <w:tr>
        <w:tc>
          <w:tcPr>
            <w:tcW w:type="dxa" w:w="4873"/>
            <w:vAlign w:val="center"/>
          </w:tcPr>
          <w:p>
            <w:pPr>
              <w:spacing w:after="40"/>
            </w:pPr>
            <w:r>
              <w:rPr>
                <w:rFonts w:ascii="Aptos" w:hAnsi="Aptos"/>
                <w:sz w:val="17"/>
              </w:rPr>
              <w:t>Persistencia</w:t>
            </w:r>
          </w:p>
        </w:tc>
        <w:tc>
          <w:tcPr>
            <w:tcW w:type="dxa" w:w="4873"/>
            <w:vAlign w:val="center"/>
          </w:tcPr>
          <w:p>
            <w:pPr>
              <w:spacing w:after="40"/>
            </w:pPr>
            <w:r>
              <w:rPr>
                <w:rFonts w:ascii="Aptos" w:hAnsi="Aptos"/>
                <w:sz w:val="17"/>
              </w:rPr>
              <w:t>Spring Data JPA + Hibernate como mecanismo principal.</w:t>
            </w:r>
          </w:p>
        </w:tc>
      </w:tr>
      <w:tr>
        <w:tc>
          <w:tcPr>
            <w:tcW w:type="dxa" w:w="4873"/>
            <w:vAlign w:val="center"/>
          </w:tcPr>
          <w:p>
            <w:pPr>
              <w:spacing w:after="40"/>
            </w:pPr>
            <w:r>
              <w:rPr>
                <w:rFonts w:ascii="Aptos" w:hAnsi="Aptos"/>
                <w:sz w:val="17"/>
              </w:rPr>
              <w:t>Migraciones</w:t>
            </w:r>
          </w:p>
        </w:tc>
        <w:tc>
          <w:tcPr>
            <w:tcW w:type="dxa" w:w="4873"/>
            <w:vAlign w:val="center"/>
          </w:tcPr>
          <w:p>
            <w:pPr>
              <w:spacing w:after="40"/>
            </w:pPr>
            <w:r>
              <w:rPr>
                <w:rFonts w:ascii="Aptos" w:hAnsi="Aptos"/>
                <w:sz w:val="17"/>
              </w:rPr>
              <w:t>Flyway con migraciones SQL versionadas.</w:t>
            </w:r>
          </w:p>
        </w:tc>
      </w:tr>
      <w:tr>
        <w:tc>
          <w:tcPr>
            <w:tcW w:type="dxa" w:w="4873"/>
            <w:vAlign w:val="center"/>
          </w:tcPr>
          <w:p>
            <w:pPr>
              <w:spacing w:after="40"/>
            </w:pPr>
            <w:r>
              <w:rPr>
                <w:rFonts w:ascii="Aptos" w:hAnsi="Aptos"/>
                <w:sz w:val="17"/>
              </w:rPr>
              <w:t>Desarrollo local</w:t>
            </w:r>
          </w:p>
        </w:tc>
        <w:tc>
          <w:tcPr>
            <w:tcW w:type="dxa" w:w="4873"/>
            <w:vAlign w:val="center"/>
          </w:tcPr>
          <w:p>
            <w:pPr>
              <w:spacing w:after="40"/>
            </w:pPr>
            <w:r>
              <w:rPr>
                <w:rFonts w:ascii="Aptos" w:hAnsi="Aptos"/>
                <w:sz w:val="17"/>
              </w:rPr>
              <w:t>Docker / Docker Compose para dependencias como PostgreSQL.</w:t>
            </w:r>
          </w:p>
        </w:tc>
      </w:tr>
      <w:tr>
        <w:tc>
          <w:tcPr>
            <w:tcW w:type="dxa" w:w="4873"/>
            <w:vAlign w:val="center"/>
          </w:tcPr>
          <w:p>
            <w:pPr>
              <w:spacing w:after="40"/>
            </w:pPr>
            <w:r>
              <w:rPr>
                <w:rFonts w:ascii="Aptos" w:hAnsi="Aptos"/>
                <w:sz w:val="17"/>
              </w:rPr>
              <w:t>Seguridad</w:t>
            </w:r>
          </w:p>
        </w:tc>
        <w:tc>
          <w:tcPr>
            <w:tcW w:type="dxa" w:w="4873"/>
            <w:vAlign w:val="center"/>
          </w:tcPr>
          <w:p>
            <w:pPr>
              <w:spacing w:after="40"/>
            </w:pPr>
            <w:r>
              <w:rPr>
                <w:rFonts w:ascii="Aptos" w:hAnsi="Aptos"/>
                <w:sz w:val="17"/>
              </w:rPr>
              <w:t>Spring Security con autenticación basada en sesión.</w:t>
            </w:r>
          </w:p>
        </w:tc>
      </w:tr>
    </w:tbl>
    <w:p>
      <w:r/>
    </w:p>
    <w:p>
      <w:r>
        <w:t>No se incorporará una base de datos NoSQL en el MVP. El dominio es predominantemente relacional y requiere integridad referencial, transacciones y consultas entre entidades relacionadas. PostgreSQL podrá utilizar capacidades como JSONB si surge una necesidad puntual de información semiestructurada.</w:t>
      </w:r>
    </w:p>
    <w:p>
      <w:pPr>
        <w:pStyle w:val="Heading1"/>
      </w:pPr>
      <w:r>
        <w:t>5. Persistencia y modelo de datos</w:t>
      </w:r>
    </w:p>
    <w:p>
      <w:pPr>
        <w:pStyle w:val="Heading2"/>
      </w:pPr>
      <w:r>
        <w:t>5.1 JPA como mecanismo principal</w:t>
      </w:r>
    </w:p>
    <w:p>
      <w:r>
        <w:t>JPA/Hibernate será el mecanismo principal de persistencia para las operaciones habituales. Se permitirá JPQL, SQL nativo u otros mecanismos de acceso a datos cuando una consulta concreta requiera mayor control, eficiencia o aprovechamiento de capacidades de PostgreSQL.</w:t>
      </w:r>
    </w:p>
    <w:p>
      <w:r>
        <w:t>Las optimizaciones se realizarán a partir de necesidades reales y mediciones. No se forzará JPA cuando resulte inadecuado, ni se utilizará SQL manual cuando no aporte una ventaja clara.</w:t>
      </w:r>
    </w:p>
    <w:p>
      <w:pPr>
        <w:pStyle w:val="Heading2"/>
      </w:pPr>
      <w:r>
        <w:t>5.2 Dominio y entidades JPA</w:t>
      </w:r>
    </w:p>
    <w:p>
      <w:r>
        <w:t>En el MVP, las entidades principales del dominio podrán actuar también como entidades JPA. Se evita así mantener un modelo de persistencia duplicado cuando todavía no existe una complejidad que lo justifique.</w:t>
      </w:r>
    </w:p>
    <w:p>
      <w:r>
        <w:t>Esta decisión no elimina la separación arquitectónica: los controllers no accederán directamente a repositorios JPA ni expondrán entidades de persistencia. Si Hibernate llegara a condicionar de forma significativa el dominio, podrá introducirse posteriormente un modelo de persistencia independiente.</w:t>
      </w:r>
    </w:p>
    <w:p>
      <w:pPr>
        <w:pStyle w:val="Heading2"/>
      </w:pPr>
      <w:r>
        <w:t>5.3 Migraciones con Flyway</w:t>
      </w:r>
    </w:p>
    <w:p>
      <w:r>
        <w:t>Flyway gestionará la evolución del esquema de PostgreSQL mediante migraciones SQL versionadas y reproducibles. El esquema no dependerá de modificaciones manuales ni de actualizaciones automáticas de Hibernate en producción.</w:t>
      </w:r>
    </w:p>
    <w:p>
      <w:pPr>
        <w:pStyle w:val="DomainBlock"/>
      </w:pPr>
      <w:r>
        <w:t>V1__create_users.sql</w:t>
      </w:r>
    </w:p>
    <w:p>
      <w:pPr>
        <w:pStyle w:val="DomainBlock"/>
      </w:pPr>
      <w:r>
        <w:t>V2__create_projects.sql</w:t>
      </w:r>
    </w:p>
    <w:p>
      <w:pPr>
        <w:pStyle w:val="DomainBlock"/>
      </w:pPr>
      <w:r>
        <w:t>V3__create_boards_and_columns.sql</w:t>
      </w:r>
    </w:p>
    <w:p>
      <w:pPr>
        <w:pStyle w:val="DomainBlock"/>
      </w:pPr>
      <w:r>
        <w:t>V4__create_tasks.sql</w:t>
      </w:r>
    </w:p>
    <w:p>
      <w:r>
        <w:t>Las mismas migraciones permitirán mantener coherencia de esquema entre los entornos disponibles.</w:t>
      </w:r>
    </w:p>
    <w:p>
      <w:pPr>
        <w:pStyle w:val="Heading1"/>
      </w:pPr>
      <w:r>
        <w:t>6. API REST</w:t>
      </w:r>
    </w:p>
    <w:p>
      <w:pPr>
        <w:pStyle w:val="Heading2"/>
      </w:pPr>
      <w:r>
        <w:t>6.1 Comunicación</w:t>
      </w:r>
    </w:p>
    <w:p>
      <w:r>
        <w:t>Angular y Spring Boot se comunicarán mediante una API REST sobre HTTP utilizando JSON. No se incorporarán GraphQL, gRPC u otros mecanismos mientras no exista un caso de uso que los justifique.</w:t>
      </w:r>
    </w:p>
    <w:p>
      <w:pPr>
        <w:pStyle w:val="Heading2"/>
      </w:pPr>
      <w:r>
        <w:t>6.2 Convención de recursos y URLs</w:t>
      </w:r>
    </w:p>
    <w:p>
      <w:r>
        <w:t>La API utilizará una anidación moderada. Los recursos se anidarán cuando la pertenencia al padre sea relevante para consultar o crear una colección, mientras que los recursos concretos se accederán directamente mediante su identificador.</w:t>
      </w:r>
    </w:p>
    <w:p>
      <w:pPr>
        <w:pStyle w:val="DomainBlock"/>
      </w:pPr>
      <w:r>
        <w:t>GET  /api/projects/{projectId}/boards</w:t>
      </w:r>
    </w:p>
    <w:p>
      <w:pPr>
        <w:pStyle w:val="DomainBlock"/>
      </w:pPr>
      <w:r>
        <w:t>POST /api/projects/{projectId}/boards</w:t>
      </w:r>
    </w:p>
    <w:p>
      <w:pPr>
        <w:pStyle w:val="DomainBlock"/>
      </w:pPr>
      <w:r/>
    </w:p>
    <w:p>
      <w:pPr>
        <w:pStyle w:val="DomainBlock"/>
      </w:pPr>
      <w:r>
        <w:t>GET  /api/boards/{boardId}/columns</w:t>
      </w:r>
    </w:p>
    <w:p>
      <w:pPr>
        <w:pStyle w:val="DomainBlock"/>
      </w:pPr>
      <w:r>
        <w:t>POST /api/boards/{boardId}/columns</w:t>
      </w:r>
    </w:p>
    <w:p>
      <w:pPr>
        <w:pStyle w:val="DomainBlock"/>
      </w:pPr>
      <w:r/>
    </w:p>
    <w:p>
      <w:pPr>
        <w:pStyle w:val="DomainBlock"/>
      </w:pPr>
      <w:r>
        <w:t>GET   /api/tasks/{taskId}</w:t>
      </w:r>
    </w:p>
    <w:p>
      <w:pPr>
        <w:pStyle w:val="DomainBlock"/>
      </w:pPr>
      <w:r>
        <w:t>PATCH /api/tasks/{taskId}</w:t>
      </w:r>
    </w:p>
    <w:p>
      <w:r>
        <w:t>Las operaciones de dominio con significado propio podrán expresarse mediante endpoints de acción en lugar de forzarse a un CRUD artificial.</w:t>
      </w:r>
    </w:p>
    <w:p>
      <w:pPr>
        <w:pStyle w:val="DomainBlock"/>
      </w:pPr>
      <w:r>
        <w:t>POST /api/tasks/{taskId}/move</w:t>
      </w:r>
    </w:p>
    <w:p>
      <w:pPr>
        <w:pStyle w:val="DomainBlock"/>
      </w:pPr>
      <w:r>
        <w:t>POST /api/projects/{projectId}/archive</w:t>
      </w:r>
    </w:p>
    <w:p>
      <w:pPr>
        <w:pStyle w:val="DomainBlock"/>
      </w:pPr>
      <w:r>
        <w:t>POST /api/projects/{projectId}/restore</w:t>
      </w:r>
    </w:p>
    <w:p>
      <w:pPr>
        <w:pStyle w:val="DomainBlock"/>
      </w:pPr>
      <w:r>
        <w:t>POST /api/invitations/{invitationId}/accept</w:t>
      </w:r>
    </w:p>
    <w:p>
      <w:r>
        <w:t>PATCH será la opción habitual para modificaciones parciales. Los contratos concretos de cada endpoint se definirán durante la implementación de cada módulo.</w:t>
      </w:r>
    </w:p>
    <w:p>
      <w:pPr>
        <w:pStyle w:val="Heading2"/>
      </w:pPr>
      <w:r>
        <w:t>6.3 DTOs</w:t>
      </w:r>
    </w:p>
    <w:p>
      <w:r>
        <w:t>La API utilizará DTOs específicos de entrada y salida y no expondrá directamente las entidades JPA. Se podrán distinguir representaciones de creación, actualización, movimiento, resumen o detalle cuando la operación lo necesite, evitando proliferar DTOs sin una diferencia funcional real.</w:t>
      </w:r>
    </w:p>
    <w:p>
      <w:r>
        <w:t>El mapping podrá implementarse inicialmente de forma explícita. Herramientas adicionales como MapStruct solo se incorporarán si la repetición de mapping justifica su uso.</w:t>
      </w:r>
    </w:p>
    <w:p>
      <w:pPr>
        <w:pStyle w:val="Heading2"/>
      </w:pPr>
      <w:r>
        <w:t>6.4 Respuestas HTTP y gestión de errores</w:t>
      </w:r>
    </w:p>
    <w:tbl>
      <w:tblPr>
        <w:tblStyle w:val="TableGrid"/>
        <w:tblW w:type="auto" w:w="0"/>
        <w:jc w:val="center"/>
        <w:tblLook w:firstColumn="1" w:firstRow="1" w:lastColumn="0" w:lastRow="0" w:noHBand="0" w:noVBand="1" w:val="04A0"/>
      </w:tblPr>
      <w:tblGrid>
        <w:gridCol w:w="4873"/>
        <w:gridCol w:w="4873"/>
      </w:tblGrid>
      <w:tr>
        <w:tc>
          <w:tcPr>
            <w:tcW w:type="dxa" w:w="4873"/>
            <w:shd w:fill="D9EAF7"/>
            <w:vAlign w:val="center"/>
          </w:tcPr>
          <w:p>
            <w:r>
              <w:rPr>
                <w:rFonts w:ascii="Aptos" w:hAnsi="Aptos"/>
                <w:b/>
                <w:sz w:val="18"/>
              </w:rPr>
              <w:t>Código</w:t>
            </w:r>
          </w:p>
        </w:tc>
        <w:tc>
          <w:tcPr>
            <w:tcW w:type="dxa" w:w="4873"/>
            <w:shd w:fill="D9EAF7"/>
            <w:vAlign w:val="center"/>
          </w:tcPr>
          <w:p>
            <w:r>
              <w:rPr>
                <w:rFonts w:ascii="Aptos" w:hAnsi="Aptos"/>
                <w:b/>
                <w:sz w:val="18"/>
              </w:rPr>
              <w:t>Uso general</w:t>
            </w:r>
          </w:p>
        </w:tc>
      </w:tr>
      <w:tr>
        <w:tc>
          <w:tcPr>
            <w:tcW w:type="dxa" w:w="4873"/>
            <w:vAlign w:val="center"/>
          </w:tcPr>
          <w:p>
            <w:pPr>
              <w:spacing w:after="40"/>
            </w:pPr>
            <w:r>
              <w:rPr>
                <w:rFonts w:ascii="Aptos" w:hAnsi="Aptos"/>
                <w:sz w:val="17"/>
              </w:rPr>
              <w:t>200 OK</w:t>
            </w:r>
          </w:p>
        </w:tc>
        <w:tc>
          <w:tcPr>
            <w:tcW w:type="dxa" w:w="4873"/>
            <w:vAlign w:val="center"/>
          </w:tcPr>
          <w:p>
            <w:pPr>
              <w:spacing w:after="40"/>
            </w:pPr>
            <w:r>
              <w:rPr>
                <w:rFonts w:ascii="Aptos" w:hAnsi="Aptos"/>
                <w:sz w:val="17"/>
              </w:rPr>
              <w:t>Operación correcta que devuelve contenido.</w:t>
            </w:r>
          </w:p>
        </w:tc>
      </w:tr>
      <w:tr>
        <w:tc>
          <w:tcPr>
            <w:tcW w:type="dxa" w:w="4873"/>
            <w:vAlign w:val="center"/>
          </w:tcPr>
          <w:p>
            <w:pPr>
              <w:spacing w:after="40"/>
            </w:pPr>
            <w:r>
              <w:rPr>
                <w:rFonts w:ascii="Aptos" w:hAnsi="Aptos"/>
                <w:sz w:val="17"/>
              </w:rPr>
              <w:t>201 Created</w:t>
            </w:r>
          </w:p>
        </w:tc>
        <w:tc>
          <w:tcPr>
            <w:tcW w:type="dxa" w:w="4873"/>
            <w:vAlign w:val="center"/>
          </w:tcPr>
          <w:p>
            <w:pPr>
              <w:spacing w:after="40"/>
            </w:pPr>
            <w:r>
              <w:rPr>
                <w:rFonts w:ascii="Aptos" w:hAnsi="Aptos"/>
                <w:sz w:val="17"/>
              </w:rPr>
              <w:t>Creación correcta de un recurso.</w:t>
            </w:r>
          </w:p>
        </w:tc>
      </w:tr>
      <w:tr>
        <w:tc>
          <w:tcPr>
            <w:tcW w:type="dxa" w:w="4873"/>
            <w:vAlign w:val="center"/>
          </w:tcPr>
          <w:p>
            <w:pPr>
              <w:spacing w:after="40"/>
            </w:pPr>
            <w:r>
              <w:rPr>
                <w:rFonts w:ascii="Aptos" w:hAnsi="Aptos"/>
                <w:sz w:val="17"/>
              </w:rPr>
              <w:t>204 No Content</w:t>
            </w:r>
          </w:p>
        </w:tc>
        <w:tc>
          <w:tcPr>
            <w:tcW w:type="dxa" w:w="4873"/>
            <w:vAlign w:val="center"/>
          </w:tcPr>
          <w:p>
            <w:pPr>
              <w:spacing w:after="40"/>
            </w:pPr>
            <w:r>
              <w:rPr>
                <w:rFonts w:ascii="Aptos" w:hAnsi="Aptos"/>
                <w:sz w:val="17"/>
              </w:rPr>
              <w:t>Operación correcta sin contenido de respuesta.</w:t>
            </w:r>
          </w:p>
        </w:tc>
      </w:tr>
      <w:tr>
        <w:tc>
          <w:tcPr>
            <w:tcW w:type="dxa" w:w="4873"/>
            <w:vAlign w:val="center"/>
          </w:tcPr>
          <w:p>
            <w:pPr>
              <w:spacing w:after="40"/>
            </w:pPr>
            <w:r>
              <w:rPr>
                <w:rFonts w:ascii="Aptos" w:hAnsi="Aptos"/>
                <w:sz w:val="17"/>
              </w:rPr>
              <w:t>400 Bad Request</w:t>
            </w:r>
          </w:p>
        </w:tc>
        <w:tc>
          <w:tcPr>
            <w:tcW w:type="dxa" w:w="4873"/>
            <w:vAlign w:val="center"/>
          </w:tcPr>
          <w:p>
            <w:pPr>
              <w:spacing w:after="40"/>
            </w:pPr>
            <w:r>
              <w:rPr>
                <w:rFonts w:ascii="Aptos" w:hAnsi="Aptos"/>
                <w:sz w:val="17"/>
              </w:rPr>
              <w:t>Petición o validación de entrada incorrecta.</w:t>
            </w:r>
          </w:p>
        </w:tc>
      </w:tr>
      <w:tr>
        <w:tc>
          <w:tcPr>
            <w:tcW w:type="dxa" w:w="4873"/>
            <w:vAlign w:val="center"/>
          </w:tcPr>
          <w:p>
            <w:pPr>
              <w:spacing w:after="40"/>
            </w:pPr>
            <w:r>
              <w:rPr>
                <w:rFonts w:ascii="Aptos" w:hAnsi="Aptos"/>
                <w:sz w:val="17"/>
              </w:rPr>
              <w:t>401 Unauthorized</w:t>
            </w:r>
          </w:p>
        </w:tc>
        <w:tc>
          <w:tcPr>
            <w:tcW w:type="dxa" w:w="4873"/>
            <w:vAlign w:val="center"/>
          </w:tcPr>
          <w:p>
            <w:pPr>
              <w:spacing w:after="40"/>
            </w:pPr>
            <w:r>
              <w:rPr>
                <w:rFonts w:ascii="Aptos" w:hAnsi="Aptos"/>
                <w:sz w:val="17"/>
              </w:rPr>
              <w:t>Ausencia de autenticación válida.</w:t>
            </w:r>
          </w:p>
        </w:tc>
      </w:tr>
      <w:tr>
        <w:tc>
          <w:tcPr>
            <w:tcW w:type="dxa" w:w="4873"/>
            <w:vAlign w:val="center"/>
          </w:tcPr>
          <w:p>
            <w:pPr>
              <w:spacing w:after="40"/>
            </w:pPr>
            <w:r>
              <w:rPr>
                <w:rFonts w:ascii="Aptos" w:hAnsi="Aptos"/>
                <w:sz w:val="17"/>
              </w:rPr>
              <w:t>403 Forbidden</w:t>
            </w:r>
          </w:p>
        </w:tc>
        <w:tc>
          <w:tcPr>
            <w:tcW w:type="dxa" w:w="4873"/>
            <w:vAlign w:val="center"/>
          </w:tcPr>
          <w:p>
            <w:pPr>
              <w:spacing w:after="40"/>
            </w:pPr>
            <w:r>
              <w:rPr>
                <w:rFonts w:ascii="Aptos" w:hAnsi="Aptos"/>
                <w:sz w:val="17"/>
              </w:rPr>
              <w:t>Usuario autenticado sin permisos suficientes.</w:t>
            </w:r>
          </w:p>
        </w:tc>
      </w:tr>
      <w:tr>
        <w:tc>
          <w:tcPr>
            <w:tcW w:type="dxa" w:w="4873"/>
            <w:vAlign w:val="center"/>
          </w:tcPr>
          <w:p>
            <w:pPr>
              <w:spacing w:after="40"/>
            </w:pPr>
            <w:r>
              <w:rPr>
                <w:rFonts w:ascii="Aptos" w:hAnsi="Aptos"/>
                <w:sz w:val="17"/>
              </w:rPr>
              <w:t>404 Not Found</w:t>
            </w:r>
          </w:p>
        </w:tc>
        <w:tc>
          <w:tcPr>
            <w:tcW w:type="dxa" w:w="4873"/>
            <w:vAlign w:val="center"/>
          </w:tcPr>
          <w:p>
            <w:pPr>
              <w:spacing w:after="40"/>
            </w:pPr>
            <w:r>
              <w:rPr>
                <w:rFonts w:ascii="Aptos" w:hAnsi="Aptos"/>
                <w:sz w:val="17"/>
              </w:rPr>
              <w:t>Recurso no encontrado o no accesible según la política aplicable.</w:t>
            </w:r>
          </w:p>
        </w:tc>
      </w:tr>
      <w:tr>
        <w:tc>
          <w:tcPr>
            <w:tcW w:type="dxa" w:w="4873"/>
            <w:vAlign w:val="center"/>
          </w:tcPr>
          <w:p>
            <w:pPr>
              <w:spacing w:after="40"/>
            </w:pPr>
            <w:r>
              <w:rPr>
                <w:rFonts w:ascii="Aptos" w:hAnsi="Aptos"/>
                <w:sz w:val="17"/>
              </w:rPr>
              <w:t>409 Conflict</w:t>
            </w:r>
          </w:p>
        </w:tc>
        <w:tc>
          <w:tcPr>
            <w:tcW w:type="dxa" w:w="4873"/>
            <w:vAlign w:val="center"/>
          </w:tcPr>
          <w:p>
            <w:pPr>
              <w:spacing w:after="40"/>
            </w:pPr>
            <w:r>
              <w:rPr>
                <w:rFonts w:ascii="Aptos" w:hAnsi="Aptos"/>
                <w:sz w:val="17"/>
              </w:rPr>
              <w:t>Conflicto con el estado actual o una regla del recurso.</w:t>
            </w:r>
          </w:p>
        </w:tc>
      </w:tr>
      <w:tr>
        <w:tc>
          <w:tcPr>
            <w:tcW w:type="dxa" w:w="4873"/>
            <w:vAlign w:val="center"/>
          </w:tcPr>
          <w:p>
            <w:pPr>
              <w:spacing w:after="40"/>
            </w:pPr>
            <w:r>
              <w:rPr>
                <w:rFonts w:ascii="Aptos" w:hAnsi="Aptos"/>
                <w:sz w:val="17"/>
              </w:rPr>
              <w:t>500 Internal Server Error</w:t>
            </w:r>
          </w:p>
        </w:tc>
        <w:tc>
          <w:tcPr>
            <w:tcW w:type="dxa" w:w="4873"/>
            <w:vAlign w:val="center"/>
          </w:tcPr>
          <w:p>
            <w:pPr>
              <w:spacing w:after="40"/>
            </w:pPr>
            <w:r>
              <w:rPr>
                <w:rFonts w:ascii="Aptos" w:hAnsi="Aptos"/>
                <w:sz w:val="17"/>
              </w:rPr>
              <w:t>Error interno inesperado.</w:t>
            </w:r>
          </w:p>
        </w:tc>
      </w:tr>
    </w:tbl>
    <w:p>
      <w:r/>
    </w:p>
    <w:p>
      <w:r>
        <w:t>Los errores seguirán una estructura JSON común con código HTTP, código funcional propio y mensaje descriptivo. Cuando proceda se incluirán errores asociados a campos concretos. La traducción de excepciones a respuestas HTTP se centralizará en el backend, previsiblemente mediante @RestControllerAdvice.</w:t>
      </w:r>
    </w:p>
    <w:p>
      <w:pPr>
        <w:pStyle w:val="DomainBlock"/>
      </w:pPr>
      <w:r>
        <w:t>{</w:t>
      </w:r>
    </w:p>
    <w:p>
      <w:pPr>
        <w:pStyle w:val="DomainBlock"/>
      </w:pPr>
      <w:r>
        <w:t xml:space="preserve">  "status": 409,</w:t>
      </w:r>
    </w:p>
    <w:p>
      <w:pPr>
        <w:pStyle w:val="DomainBlock"/>
      </w:pPr>
      <w:r>
        <w:t xml:space="preserve">  "code": "BOARD_NOT_EMPTY",</w:t>
      </w:r>
    </w:p>
    <w:p>
      <w:pPr>
        <w:pStyle w:val="DomainBlock"/>
      </w:pPr>
      <w:r>
        <w:t xml:space="preserve">  "message": "The board cannot be permanently deleted because it is not empty",</w:t>
      </w:r>
    </w:p>
    <w:p>
      <w:pPr>
        <w:pStyle w:val="DomainBlock"/>
      </w:pPr>
      <w:r>
        <w:t xml:space="preserve">  "path": "/api/boards/8"</w:t>
      </w:r>
    </w:p>
    <w:p>
      <w:pPr>
        <w:pStyle w:val="DomainBlock"/>
      </w:pPr>
      <w:r>
        <w:t>}</w:t>
      </w:r>
    </w:p>
    <w:p>
      <w:pPr>
        <w:pStyle w:val="Heading1"/>
      </w:pPr>
      <w:r>
        <w:t>7. Seguridad técnica</w:t>
      </w:r>
    </w:p>
    <w:p>
      <w:pPr>
        <w:pStyle w:val="Heading2"/>
      </w:pPr>
      <w:r>
        <w:t>7.1 Autenticación y sesiones</w:t>
      </w:r>
    </w:p>
    <w:p>
      <w:r>
        <w:t>La autenticación utilizará Spring Security con sesión HTTP y cookie segura. No se utilizará JWT en el MVP, ya que la arquitectura inicial consiste en una SPA Angular y un único backend Spring Boot.</w:t>
      </w:r>
    </w:p>
    <w:p>
      <w:pPr>
        <w:pStyle w:val="ListBullet"/>
      </w:pPr>
      <w:r>
        <w:t>La autenticación será persistente entre cierres del navegador, con vigencia limitada y configurable.</w:t>
      </w:r>
    </w:p>
    <w:p>
      <w:pPr>
        <w:pStyle w:val="ListBullet"/>
      </w:pPr>
      <w:r>
        <w:t>El cierre de sesión invalidará la sesión del servidor.</w:t>
      </w:r>
    </w:p>
    <w:p>
      <w:pPr>
        <w:pStyle w:val="ListBullet"/>
      </w:pPr>
      <w:r>
        <w:t>El cambio voluntario de contraseña exigirá la contraseña actual, conservará la sesión actual e invalidará las demás sesiones.</w:t>
      </w:r>
    </w:p>
    <w:p>
      <w:pPr>
        <w:pStyle w:val="ListBullet"/>
      </w:pPr>
      <w:r>
        <w:t>La recuperación de contraseña invalidará todas las sesiones y exigirá un nuevo inicio de sesión.</w:t>
      </w:r>
    </w:p>
    <w:p>
      <w:pPr>
        <w:pStyle w:val="Heading2"/>
      </w:pPr>
      <w:r>
        <w:t>7.2 Contraseñas</w:t>
      </w:r>
    </w:p>
    <w:p>
      <w:r>
        <w:t>Las contraseñas se almacenarán mediante Argon2id utilizando las capacidades de Spring Security. No se almacenarán contraseñas en texto plano ni se implementará criptografía manual. Los parámetros concretos de Argon2id se configurarán y ajustarán durante la implementación.</w:t>
      </w:r>
    </w:p>
    <w:p>
      <w:pPr>
        <w:pStyle w:val="Heading2"/>
      </w:pPr>
      <w:r>
        <w:t>7.3 Autorización</w:t>
      </w:r>
    </w:p>
    <w:p>
      <w:r>
        <w:t>Spring Security resolverá la identidad autenticada, pero OWNER y MEMBER no se modelarán como roles globales. Los permisos dependen del ProjectMembership de cada usuario en cada proyecto y se comprobarán en la capa de aplicación/dominio.</w:t>
      </w:r>
    </w:p>
    <w:p>
      <w:pPr>
        <w:pStyle w:val="DomainBlock"/>
      </w:pPr>
      <w:r>
        <w:t>Usuario autenticado</w:t>
      </w:r>
    </w:p>
    <w:p>
      <w:pPr>
        <w:pStyle w:val="DomainBlock"/>
      </w:pPr>
      <w:r>
        <w:t xml:space="preserve">        ↓</w:t>
      </w:r>
    </w:p>
    <w:p>
      <w:pPr>
        <w:pStyle w:val="DomainBlock"/>
      </w:pPr>
      <w:r>
        <w:t>¿pertenece al proyecto?</w:t>
      </w:r>
    </w:p>
    <w:p>
      <w:pPr>
        <w:pStyle w:val="DomainBlock"/>
      </w:pPr>
      <w:r>
        <w:t xml:space="preserve">        ↓</w:t>
      </w:r>
    </w:p>
    <w:p>
      <w:pPr>
        <w:pStyle w:val="DomainBlock"/>
      </w:pPr>
      <w:r>
        <w:t>operación solicitada</w:t>
      </w:r>
    </w:p>
    <w:p>
      <w:pPr>
        <w:pStyle w:val="DomainBlock"/>
      </w:pPr>
      <w:r>
        <w:t xml:space="preserve">        ↓</w:t>
      </w:r>
    </w:p>
    <w:p>
      <w:pPr>
        <w:pStyle w:val="DomainBlock"/>
      </w:pPr>
      <w:r>
        <w:t>¿OWNER / MEMBER tiene permiso?</w:t>
      </w:r>
    </w:p>
    <w:p>
      <w:pPr>
        <w:pStyle w:val="DomainBlock"/>
      </w:pPr>
      <w:r>
        <w:t xml:space="preserve">        ↓</w:t>
      </w:r>
    </w:p>
    <w:p>
      <w:pPr>
        <w:pStyle w:val="DomainBlock"/>
      </w:pPr>
      <w:r>
        <w:t>permitir o responder 403</w:t>
      </w:r>
    </w:p>
    <w:p>
      <w:pPr>
        <w:pStyle w:val="Heading2"/>
      </w:pPr>
      <w:r>
        <w:t>7.4 CSRF, CORS y HTTPS</w:t>
      </w:r>
    </w:p>
    <w:p>
      <w:pPr>
        <w:pStyle w:val="ListBullet"/>
      </w:pPr>
      <w:r>
        <w:t>La protección CSRF permanecerá habilitada al utilizar autenticación basada en sesión y cookies. Se empleará el mecanismo compatible entre Angular y Spring Security.</w:t>
      </w:r>
    </w:p>
    <w:p>
      <w:pPr>
        <w:pStyle w:val="ListBullet"/>
      </w:pPr>
      <w:r>
        <w:t>CORS será restrictivo y configurable por entorno. Se permitirán únicamente los orígenes necesarios y no se utilizará una política global abierta (*) con credenciales.</w:t>
      </w:r>
    </w:p>
    <w:p>
      <w:pPr>
        <w:pStyle w:val="ListBullet"/>
      </w:pPr>
      <w:r>
        <w:t>La aplicación utilizará HTTPS en producción.</w:t>
      </w:r>
    </w:p>
    <w:p>
      <w:pPr>
        <w:pStyle w:val="Heading2"/>
      </w:pPr>
      <w:r>
        <w:t>7.5 Verificación de email y recuperación de contraseña</w:t>
      </w:r>
    </w:p>
    <w:p>
      <w:r>
        <w:t>La verificación de email y la recuperación de contraseña utilizarán tokens criptográficamente aleatorios, temporales y de un solo uso. Los tokens tendrán vigencia limitada y serán invalidados tras su utilización. La implementación concreta y los tiempos exactos serán configurables.</w:t>
      </w:r>
    </w:p>
    <w:p>
      <w:r>
        <w:t>La recuperación de contraseña no revelará si una dirección está registrada. La respuesta será neutra y el restablecimiento exitoso invalidará las sesiones existentes.</w:t>
      </w:r>
    </w:p>
    <w:p>
      <w:pPr>
        <w:pStyle w:val="Heading1"/>
      </w:pPr>
      <w:r>
        <w:t>8. Frontend y experiencia de usuario</w:t>
      </w:r>
    </w:p>
    <w:p>
      <w:pPr>
        <w:pStyle w:val="Heading2"/>
      </w:pPr>
      <w:r>
        <w:t>8.1 Librerías y estado</w:t>
      </w:r>
    </w:p>
    <w:p>
      <w:r>
        <w:t>El frontend utilizará Angular y TypeScript. PrimeNG aportará componentes comunes y complejos, mientras que la identidad visual del Kanban se resolverá con estilos CSS/SCSS ligeros. HttpClient gestionará la comunicación REST, RxJS los flujos asíncronos y Signals el estado reactivo local/de aplicación. NgRx se reconsiderará únicamente si aparece una complejidad de estado que lo justifique.</w:t>
      </w:r>
    </w:p>
    <w:p>
      <w:pPr>
        <w:pStyle w:val="Heading2"/>
      </w:pPr>
      <w:r>
        <w:t>8.2 Carga del tablero</w:t>
      </w:r>
    </w:p>
    <w:p>
      <w:r>
        <w:t>La carga inicial del tablero priorizará la fluidez. Se obtendrá en el menor número razonable de peticiones la información necesaria para representar el Board, sus Column y resúmenes de Task. El detalle completo de una tarea se cargará bajo demanda al abrirla.</w:t>
      </w:r>
    </w:p>
    <w:p>
      <w:pPr>
        <w:pStyle w:val="DomainBlock"/>
      </w:pPr>
      <w:r>
        <w:t>Abrir Board</w:t>
      </w:r>
    </w:p>
    <w:p>
      <w:pPr>
        <w:pStyle w:val="DomainBlock"/>
      </w:pPr>
      <w:r>
        <w:t xml:space="preserve">    ↓</w:t>
      </w:r>
    </w:p>
    <w:p>
      <w:pPr>
        <w:pStyle w:val="DomainBlock"/>
      </w:pPr>
      <w:r>
        <w:t>Board + Columns + TaskSummary</w:t>
      </w:r>
    </w:p>
    <w:p>
      <w:pPr>
        <w:pStyle w:val="DomainBlock"/>
      </w:pPr>
      <w:r>
        <w:t xml:space="preserve">    ↓</w:t>
      </w:r>
    </w:p>
    <w:p>
      <w:pPr>
        <w:pStyle w:val="DomainBlock"/>
      </w:pPr>
      <w:r>
        <w:t>Kanban visible</w:t>
      </w:r>
    </w:p>
    <w:p>
      <w:pPr>
        <w:pStyle w:val="DomainBlock"/>
      </w:pPr>
      <w:r/>
    </w:p>
    <w:p>
      <w:pPr>
        <w:pStyle w:val="DomainBlock"/>
      </w:pPr>
      <w:r>
        <w:t>Abrir Task</w:t>
      </w:r>
    </w:p>
    <w:p>
      <w:pPr>
        <w:pStyle w:val="DomainBlock"/>
      </w:pPr>
      <w:r>
        <w:t xml:space="preserve">    ↓</w:t>
      </w:r>
    </w:p>
    <w:p>
      <w:pPr>
        <w:pStyle w:val="DomainBlock"/>
      </w:pPr>
      <w:r>
        <w:t>GET /api/tasks/{id}</w:t>
      </w:r>
    </w:p>
    <w:p>
      <w:pPr>
        <w:pStyle w:val="DomainBlock"/>
      </w:pPr>
      <w:r>
        <w:t xml:space="preserve">    ↓</w:t>
      </w:r>
    </w:p>
    <w:p>
      <w:pPr>
        <w:pStyle w:val="DomainBlock"/>
      </w:pPr>
      <w:r>
        <w:t>TaskDetail</w:t>
      </w:r>
    </w:p>
    <w:p>
      <w:r>
        <w:t>Las consultas se diseñarán evitando accesos ineficientes como N+1. Si una consulta de lectura compleja requiere SQL específico, podrá utilizarse conforme a la estrategia de persistencia definida.</w:t>
      </w:r>
    </w:p>
    <w:p>
      <w:pPr>
        <w:pStyle w:val="Heading2"/>
      </w:pPr>
      <w:r>
        <w:t>8.3 Interacciones optimistas</w:t>
      </w:r>
    </w:p>
    <w:p>
      <w:r>
        <w:t>Las operaciones frecuentes y reversibles, especialmente el movimiento de tareas, podrán utilizar optimistic UI: Angular actualizará inmediatamente el estado visual y persistirá el cambio en segundo plano. Si el backend rechaza la operación, el cliente revertirá el cambio y mostrará el error correspondiente.</w:t>
      </w:r>
    </w:p>
    <w:p>
      <w:pPr>
        <w:pStyle w:val="Heading2"/>
      </w:pPr>
      <w:r>
        <w:t>8.4 Ordenación, scroll y navegación</w:t>
      </w:r>
    </w:p>
    <w:p>
      <w:pPr>
        <w:pStyle w:val="ListBullet"/>
      </w:pPr>
      <w:r>
        <w:t>Las tareas de un tablero no tendrán paginación convencional en el MVP.</w:t>
      </w:r>
    </w:p>
    <w:p>
      <w:pPr>
        <w:pStyle w:val="ListBullet"/>
      </w:pPr>
      <w:r>
        <w:t>Cada columna se mostrará como una lista vertical con scroll cuando sea necesario.</w:t>
      </w:r>
    </w:p>
    <w:p>
      <w:pPr>
        <w:pStyle w:val="ListBullet"/>
      </w:pPr>
      <w:r>
        <w:t>El orden manual basado en position será el orden principal y persistente.</w:t>
      </w:r>
    </w:p>
    <w:p>
      <w:pPr>
        <w:pStyle w:val="ListBullet"/>
      </w:pPr>
      <w:r>
        <w:t>Podrán existir vistas de ordenación alternativas, por ejemplo por fecha, título o prioridad, sin sobrescribir el orden manual.</w:t>
      </w:r>
    </w:p>
    <w:p>
      <w:pPr>
        <w:pStyle w:val="ListBullet"/>
      </w:pPr>
      <w:r>
        <w:t>Los tableros de un proyecto se presentarán mediante pestañas o un mecanismo equivalente; si son numerosos, la navegación podrá desplazarse horizontalmente o complementarse con un selector.</w:t>
      </w:r>
    </w:p>
    <w:p>
      <w:pPr>
        <w:pStyle w:val="ListBullet"/>
      </w:pPr>
      <w:r>
        <w:t>La paginación se incorporará únicamente en colecciones donde resulte útil por experiencia o volumen real.</w:t>
      </w:r>
    </w:p>
    <w:p>
      <w:pPr>
        <w:pStyle w:val="Heading1"/>
      </w:pPr>
      <w:r>
        <w:t>9. Logging y observabilidad</w:t>
      </w:r>
    </w:p>
    <w:p>
      <w:r>
        <w:t>La aplicación incorporará logs propios orientados a operaciones y casos de uso, además de los logs del framework. El objetivo es poder seguir con facilidad el recorrido funcional de una petición y localizar errores sin depender del ruido interno de Spring.</w:t>
      </w:r>
    </w:p>
    <w:p>
      <w:pPr>
        <w:pStyle w:val="DomainBlock"/>
      </w:pPr>
      <w:r>
        <w:t>INFO  Start MoveTaskUseCase taskId=183 targetColumnId=27</w:t>
      </w:r>
    </w:p>
    <w:p>
      <w:pPr>
        <w:pStyle w:val="DomainBlock"/>
      </w:pPr>
      <w:r>
        <w:t>INFO  Task moved taskId=183 sourceColumnId=24 targetColumnId=27</w:t>
      </w:r>
    </w:p>
    <w:p>
      <w:pPr>
        <w:pStyle w:val="DomainBlock"/>
      </w:pPr>
      <w:r>
        <w:t>INFO  End MoveTaskUseCase taskId=183</w:t>
      </w:r>
    </w:p>
    <w:tbl>
      <w:tblPr>
        <w:tblStyle w:val="TableGrid"/>
        <w:tblW w:type="auto" w:w="0"/>
        <w:jc w:val="center"/>
        <w:tblLook w:firstColumn="1" w:firstRow="1" w:lastColumn="0" w:lastRow="0" w:noHBand="0" w:noVBand="1" w:val="04A0"/>
      </w:tblPr>
      <w:tblGrid>
        <w:gridCol w:w="4873"/>
        <w:gridCol w:w="4873"/>
      </w:tblGrid>
      <w:tr>
        <w:tc>
          <w:tcPr>
            <w:tcW w:type="dxa" w:w="4873"/>
            <w:shd w:fill="D9EAF7"/>
            <w:vAlign w:val="center"/>
          </w:tcPr>
          <w:p>
            <w:r>
              <w:rPr>
                <w:rFonts w:ascii="Aptos" w:hAnsi="Aptos"/>
                <w:b/>
                <w:sz w:val="18"/>
              </w:rPr>
              <w:t>Nivel</w:t>
            </w:r>
          </w:p>
        </w:tc>
        <w:tc>
          <w:tcPr>
            <w:tcW w:type="dxa" w:w="4873"/>
            <w:shd w:fill="D9EAF7"/>
            <w:vAlign w:val="center"/>
          </w:tcPr>
          <w:p>
            <w:r>
              <w:rPr>
                <w:rFonts w:ascii="Aptos" w:hAnsi="Aptos"/>
                <w:b/>
                <w:sz w:val="18"/>
              </w:rPr>
              <w:t>Uso</w:t>
            </w:r>
          </w:p>
        </w:tc>
      </w:tr>
      <w:tr>
        <w:tc>
          <w:tcPr>
            <w:tcW w:type="dxa" w:w="4873"/>
            <w:vAlign w:val="center"/>
          </w:tcPr>
          <w:p>
            <w:pPr>
              <w:spacing w:after="40"/>
            </w:pPr>
            <w:r>
              <w:rPr>
                <w:rFonts w:ascii="Aptos" w:hAnsi="Aptos"/>
                <w:sz w:val="17"/>
              </w:rPr>
              <w:t>DEBUG</w:t>
            </w:r>
          </w:p>
        </w:tc>
        <w:tc>
          <w:tcPr>
            <w:tcW w:type="dxa" w:w="4873"/>
            <w:vAlign w:val="center"/>
          </w:tcPr>
          <w:p>
            <w:pPr>
              <w:spacing w:after="40"/>
            </w:pPr>
            <w:r>
              <w:rPr>
                <w:rFonts w:ascii="Aptos" w:hAnsi="Aptos"/>
                <w:sz w:val="17"/>
              </w:rPr>
              <w:t>Detalle técnico útil durante desarrollo o diagnóstico.</w:t>
            </w:r>
          </w:p>
        </w:tc>
      </w:tr>
      <w:tr>
        <w:tc>
          <w:tcPr>
            <w:tcW w:type="dxa" w:w="4873"/>
            <w:vAlign w:val="center"/>
          </w:tcPr>
          <w:p>
            <w:pPr>
              <w:spacing w:after="40"/>
            </w:pPr>
            <w:r>
              <w:rPr>
                <w:rFonts w:ascii="Aptos" w:hAnsi="Aptos"/>
                <w:sz w:val="17"/>
              </w:rPr>
              <w:t>INFO</w:t>
            </w:r>
          </w:p>
        </w:tc>
        <w:tc>
          <w:tcPr>
            <w:tcW w:type="dxa" w:w="4873"/>
            <w:vAlign w:val="center"/>
          </w:tcPr>
          <w:p>
            <w:pPr>
              <w:spacing w:after="40"/>
            </w:pPr>
            <w:r>
              <w:rPr>
                <w:rFonts w:ascii="Aptos" w:hAnsi="Aptos"/>
                <w:sz w:val="17"/>
              </w:rPr>
              <w:t>Inicio/fin de operaciones relevantes y eventos normales de negocio.</w:t>
            </w:r>
          </w:p>
        </w:tc>
      </w:tr>
      <w:tr>
        <w:tc>
          <w:tcPr>
            <w:tcW w:type="dxa" w:w="4873"/>
            <w:vAlign w:val="center"/>
          </w:tcPr>
          <w:p>
            <w:pPr>
              <w:spacing w:after="40"/>
            </w:pPr>
            <w:r>
              <w:rPr>
                <w:rFonts w:ascii="Aptos" w:hAnsi="Aptos"/>
                <w:sz w:val="17"/>
              </w:rPr>
              <w:t>WARN</w:t>
            </w:r>
          </w:p>
        </w:tc>
        <w:tc>
          <w:tcPr>
            <w:tcW w:type="dxa" w:w="4873"/>
            <w:vAlign w:val="center"/>
          </w:tcPr>
          <w:p>
            <w:pPr>
              <w:spacing w:after="40"/>
            </w:pPr>
            <w:r>
              <w:rPr>
                <w:rFonts w:ascii="Aptos" w:hAnsi="Aptos"/>
                <w:sz w:val="17"/>
              </w:rPr>
              <w:t>Situaciones anómalas pero controladas.</w:t>
            </w:r>
          </w:p>
        </w:tc>
      </w:tr>
      <w:tr>
        <w:tc>
          <w:tcPr>
            <w:tcW w:type="dxa" w:w="4873"/>
            <w:vAlign w:val="center"/>
          </w:tcPr>
          <w:p>
            <w:pPr>
              <w:spacing w:after="40"/>
            </w:pPr>
            <w:r>
              <w:rPr>
                <w:rFonts w:ascii="Aptos" w:hAnsi="Aptos"/>
                <w:sz w:val="17"/>
              </w:rPr>
              <w:t>ERROR</w:t>
            </w:r>
          </w:p>
        </w:tc>
        <w:tc>
          <w:tcPr>
            <w:tcW w:type="dxa" w:w="4873"/>
            <w:vAlign w:val="center"/>
          </w:tcPr>
          <w:p>
            <w:pPr>
              <w:spacing w:after="40"/>
            </w:pPr>
            <w:r>
              <w:rPr>
                <w:rFonts w:ascii="Aptos" w:hAnsi="Aptos"/>
                <w:sz w:val="17"/>
              </w:rPr>
              <w:t>Fallos que impiden completar una operación o requieren investigación.</w:t>
            </w:r>
          </w:p>
        </w:tc>
      </w:tr>
    </w:tbl>
    <w:p>
      <w:r/>
    </w:p>
    <w:p>
      <w:r>
        <w:t>Nunca se registrarán contraseñas, tokens de sesión, tokens de verificación o recuperación ni otros secretos. La centralización de logs se decidirá durante el despliegue; Kibana u otra plataforma podrá incorporarse si existe una necesidad real. También podrá añadirse un request/correlation ID para facilitar trazabilidad entre mensajes relacionados.</w:t>
      </w:r>
    </w:p>
    <w:p>
      <w:pPr>
        <w:pStyle w:val="Heading1"/>
      </w:pPr>
      <w:r>
        <w:t>10. Estrategia de testing</w:t>
      </w:r>
    </w:p>
    <w:p>
      <w:r>
        <w:t>JUnit 5 y Mockito serán la base del testing backend. Los tests unitarios cubrirán especialmente reglas de negocio y casos de uso, buscando rapidez, aislamiento y facilidad de mantenimiento.</w:t>
      </w:r>
    </w:p>
    <w:p>
      <w:pPr>
        <w:pStyle w:val="ListBullet"/>
      </w:pPr>
      <w:r>
        <w:t>Muchos tests unitarios para comportamiento de dominio y aplicación.</w:t>
      </w:r>
    </w:p>
    <w:p>
      <w:pPr>
        <w:pStyle w:val="ListBullet"/>
      </w:pPr>
      <w:r>
        <w:t>Mocks únicamente en fronteras que necesiten aislarse; no se simulará indiscriminadamente todo el sistema.</w:t>
      </w:r>
    </w:p>
    <w:p>
      <w:pPr>
        <w:pStyle w:val="ListBullet"/>
      </w:pPr>
      <w:r>
        <w:t>Algunos tests de integración donde aporten valor real, especialmente persistencia, relaciones JPA, consultas y migraciones.</w:t>
      </w:r>
    </w:p>
    <w:p>
      <w:pPr>
        <w:pStyle w:val="ListBullet"/>
      </w:pPr>
      <w:r>
        <w:t>Testcontainers es el candidato preferente para ejecutar pruebas de integración contra PostgreSQL real y temporal.</w:t>
      </w:r>
    </w:p>
    <w:p>
      <w:pPr>
        <w:pStyle w:val="ListBullet"/>
      </w:pPr>
      <w:r>
        <w:t>No se fijará un porcentaje arbitrario de cobertura. Se priorizará cubrir correctamente comportamiento y reglas críticas.</w:t>
      </w:r>
    </w:p>
    <w:p>
      <w:pPr>
        <w:pStyle w:val="ListBullet"/>
      </w:pPr>
      <w:r>
        <w:t>Los tests E2E de navegador no forman parte de la base inicial y podrán incorporarse posteriormente si justifican su coste.</w:t>
      </w:r>
    </w:p>
    <w:p>
      <w:r>
        <w:t>El frontend contará al menos con las pruebas necesarias para proteger comportamiento relevante; el alcance concreto se definirá al construir sus primeras funcionalidades.</w:t>
      </w:r>
    </w:p>
    <w:p>
      <w:pPr>
        <w:pStyle w:val="Heading1"/>
      </w:pPr>
      <w:r>
        <w:t>11. Configuración y entornos</w:t>
      </w:r>
    </w:p>
    <w:p>
      <w:r>
        <w:t>La aplicación deberá poder ejecutarse siempre en local. La configuración se organizará mediante perfiles Spring y valores externalizados, preparando la aplicación para incorporar entornos adicionales sin modificar código.</w:t>
      </w:r>
    </w:p>
    <w:p>
      <w:pPr>
        <w:pStyle w:val="DomainBlock"/>
      </w:pPr>
      <w:r>
        <w:t>application.yml</w:t>
      </w:r>
    </w:p>
    <w:p>
      <w:pPr>
        <w:pStyle w:val="DomainBlock"/>
      </w:pPr>
      <w:r>
        <w:t>application-local.yml</w:t>
      </w:r>
    </w:p>
    <w:p>
      <w:pPr>
        <w:pStyle w:val="DomainBlock"/>
      </w:pPr>
      <w:r>
        <w:t>application-dev.yml</w:t>
      </w:r>
    </w:p>
    <w:p>
      <w:pPr>
        <w:pStyle w:val="DomainBlock"/>
      </w:pPr>
      <w:r>
        <w:t>application-prod.yml</w:t>
      </w:r>
    </w:p>
    <w:p>
      <w:r>
        <w:t>Los nombres definitivos de los entornos podrán adaptarse a la infraestructura real. No se reproducirán entornos corporativos como EIN/EPR si el proyecto no los necesita.</w:t>
      </w:r>
    </w:p>
    <w:p>
      <w:pPr>
        <w:pStyle w:val="ListBullet"/>
      </w:pPr>
      <w:r>
        <w:t>LOCAL utilizará dependencias locales, incluyendo PostgreSQL mediante Docker Compose.</w:t>
      </w:r>
    </w:p>
    <w:p>
      <w:pPr>
        <w:pStyle w:val="ListBullet"/>
      </w:pPr>
      <w:r>
        <w:t>DEV se incorporará cuando exista un entorno compartido/desplegado de desarrollo.</w:t>
      </w:r>
    </w:p>
    <w:p>
      <w:pPr>
        <w:pStyle w:val="ListBullet"/>
      </w:pPr>
      <w:r>
        <w:t>PROD se incorporará cuando la aplicación se publique.</w:t>
      </w:r>
    </w:p>
    <w:p>
      <w:pPr>
        <w:pStyle w:val="ListBullet"/>
      </w:pPr>
      <w:r>
        <w:t>Credenciales, secretos y valores sensibles se proporcionarán mediante variables de entorno o mecanismos equivalentes y nunca se almacenarán en Git.</w:t>
      </w:r>
    </w:p>
    <w:p>
      <w:pPr>
        <w:pStyle w:val="ListBullet"/>
      </w:pPr>
      <w:r>
        <w:t>El acceso a producción deberá estar aislado mediante infraestructura y credenciales; un entorno local no deberá disponer por defecto de credenciales de producción.</w:t>
      </w:r>
    </w:p>
    <w:p>
      <w:pPr>
        <w:pStyle w:val="Heading1"/>
      </w:pPr>
      <w:r>
        <w:t>12. CI/CD</w:t>
      </w:r>
    </w:p>
    <w:p>
      <w:pPr>
        <w:pStyle w:val="Heading2"/>
      </w:pPr>
      <w:r>
        <w:t>12.1 Repositorio</w:t>
      </w:r>
    </w:p>
    <w:p>
      <w:r>
        <w:t>Se plantea un monorepo que contenga backend, frontend, configuración de desarrollo y documentación.</w:t>
      </w:r>
    </w:p>
    <w:p>
      <w:pPr>
        <w:pStyle w:val="DomainBlock"/>
      </w:pPr>
      <w:r>
        <w:t>kanban/</w:t>
      </w:r>
    </w:p>
    <w:p>
      <w:pPr>
        <w:pStyle w:val="DomainBlock"/>
      </w:pPr>
      <w:r>
        <w:t>├── backend/</w:t>
      </w:r>
    </w:p>
    <w:p>
      <w:pPr>
        <w:pStyle w:val="DomainBlock"/>
      </w:pPr>
      <w:r>
        <w:t>├── frontend/</w:t>
      </w:r>
    </w:p>
    <w:p>
      <w:pPr>
        <w:pStyle w:val="DomainBlock"/>
      </w:pPr>
      <w:r>
        <w:t>├── docs/</w:t>
      </w:r>
    </w:p>
    <w:p>
      <w:pPr>
        <w:pStyle w:val="DomainBlock"/>
      </w:pPr>
      <w:r>
        <w:t>├── docker-compose.yml</w:t>
      </w:r>
    </w:p>
    <w:p>
      <w:pPr>
        <w:pStyle w:val="DomainBlock"/>
      </w:pPr>
      <w:r>
        <w:t>└── README.md</w:t>
      </w:r>
    </w:p>
    <w:p>
      <w:pPr>
        <w:pStyle w:val="Heading2"/>
      </w:pPr>
      <w:r>
        <w:t>12.2 Integración continua</w:t>
      </w:r>
    </w:p>
    <w:p>
      <w:r>
        <w:t>Los pipelines se ejecutarán de forma selectiva según las rutas modificadas, evitando compilar componentes no afectados cuando no sea necesario.</w:t>
      </w:r>
    </w:p>
    <w:p>
      <w:pPr>
        <w:pStyle w:val="DomainBlock"/>
      </w:pPr>
      <w:r>
        <w:t>Cambio backend/  → build + tests backend</w:t>
      </w:r>
    </w:p>
    <w:p>
      <w:pPr>
        <w:pStyle w:val="DomainBlock"/>
      </w:pPr>
      <w:r>
        <w:t>Cambio frontend/ → tests + build frontend</w:t>
      </w:r>
    </w:p>
    <w:p>
      <w:pPr>
        <w:pStyle w:val="DomainBlock"/>
      </w:pPr>
      <w:r>
        <w:t>Cambio en ambos  → ambos pipelines, preferiblemente en paralelo</w:t>
      </w:r>
    </w:p>
    <w:p>
      <w:r>
        <w:t>En una primera fase el objetivo será validar compilación y tests en cada push o pull request. Herramientas de análisis estático como SonarQube/SonarCloud podrán incorporarse posteriormente si aportan valor.</w:t>
      </w:r>
    </w:p>
    <w:p>
      <w:pPr>
        <w:pStyle w:val="Heading2"/>
      </w:pPr>
      <w:r>
        <w:t>12.3 Entrega y despliegue continuo</w:t>
      </w:r>
    </w:p>
    <w:p>
      <w:r>
        <w:t>La parte de CD se concretará cuando existan entornos desplegados. La arquitectura deberá permitir construir y desplegar frontend, backend y base de datos sin cambios relevantes en el código. La elección del proveedor se realizará en la fase de despliegue, priorizando inicialmente alternativas gratuitas o de bajo coste.</w:t>
      </w:r>
    </w:p>
    <w:p>
      <w:pPr>
        <w:pStyle w:val="Heading1"/>
      </w:pPr>
      <w:r>
        <w:t>13. Decisiones técnicas consolidadas (ADR)</w:t>
      </w:r>
    </w:p>
    <w:p>
      <w:pPr>
        <w:pStyle w:val="Heading2"/>
      </w:pPr>
      <w:r>
        <w:t>ADR-T-001 — Monolito modular</w:t>
      </w:r>
    </w:p>
    <w:p>
      <w:r>
        <w:t>Decisión: implementar el backend como un monolito modular desplegado como una única aplicación. Motivo: el MVP no requiere escalado, despliegue ni aislamiento independiente por módulos y los microservicios añadirían complejidad distribuida innecesaria.</w:t>
      </w:r>
    </w:p>
    <w:p>
      <w:pPr>
        <w:pStyle w:val="Heading2"/>
      </w:pPr>
      <w:r>
        <w:t>ADR-T-002 — Arquitectura hexagonal pragmática</w:t>
      </w:r>
    </w:p>
    <w:p>
      <w:r>
        <w:t>Decisión: organizar cada módulo separando API, aplicación, dominio e infraestructura y utilizar puertos/adaptadores en fronteras significativas. Motivo: mantener responsabilidades claras y capacidad de evolución sin introducir abstracciones ceremoniales.</w:t>
      </w:r>
    </w:p>
    <w:p>
      <w:pPr>
        <w:pStyle w:val="Heading2"/>
      </w:pPr>
      <w:r>
        <w:t>ADR-T-003 — Identidad como módulo interno</w:t>
      </w:r>
    </w:p>
    <w:p>
      <w:r>
        <w:t>Decisión: identity será un módulo del monolito y no un microservicio independiente. Contendrá autenticación y ciclo de vida de User, pero no los roles OWNER/MEMBER específicos de proyectos. Motivo: mantener una frontera reutilizable sin asumir costes de distribución prematuros.</w:t>
      </w:r>
    </w:p>
    <w:p>
      <w:pPr>
        <w:pStyle w:val="Heading2"/>
      </w:pPr>
      <w:r>
        <w:t>ADR-T-004 — PostgreSQL como base de datos principal</w:t>
      </w:r>
    </w:p>
    <w:p>
      <w:r>
        <w:t>Decisión: utilizar PostgreSQL como base de datos relacional principal y no incorporar NoSQL en el MVP. Motivo: el dominio presenta relaciones, integridad referencial y necesidades transaccionales naturales para un modelo relacional.</w:t>
      </w:r>
    </w:p>
    <w:p>
      <w:pPr>
        <w:pStyle w:val="Heading2"/>
      </w:pPr>
      <w:r>
        <w:t>ADR-T-005 — JPA/Hibernate con escape a consultas específicas</w:t>
      </w:r>
    </w:p>
    <w:p>
      <w:r>
        <w:t>Decisión: utilizar Spring Data JPA/Hibernate como mecanismo principal, permitiendo JPQL o SQL específico cuando exista una necesidad justificada de control o rendimiento. Motivo: equilibrar productividad y capacidad de optimización.</w:t>
      </w:r>
    </w:p>
    <w:p>
      <w:pPr>
        <w:pStyle w:val="Heading2"/>
      </w:pPr>
      <w:r>
        <w:t>ADR-T-006 — Entidades de dominio como entidades JPA en el MVP</w:t>
      </w:r>
    </w:p>
    <w:p>
      <w:r>
        <w:t>Decisión: no duplicar inicialmente modelo de dominio y modelo de persistencia. Motivo: reducir mapping y complejidad accidental mientras el dominio no justifique la separación, manteniendo DTOs independientes en la API.</w:t>
      </w:r>
    </w:p>
    <w:p>
      <w:pPr>
        <w:pStyle w:val="Heading2"/>
      </w:pPr>
      <w:r>
        <w:t>ADR-T-007 — Sesión HTTP en lugar de JWT</w:t>
      </w:r>
    </w:p>
    <w:p>
      <w:r>
        <w:t>Decisión: autenticación basada en sesión y cookie segura. Motivo: una SPA y un único backend no requieren la complejidad adicional de JWT, refresh tokens y revocación distribuida.</w:t>
      </w:r>
    </w:p>
    <w:p>
      <w:pPr>
        <w:pStyle w:val="Heading2"/>
      </w:pPr>
      <w:r>
        <w:t>ADR-T-008 — Angular con estado ligero</w:t>
      </w:r>
    </w:p>
    <w:p>
      <w:r>
        <w:t>Decisión: Angular + TypeScript, HttpClient, RxJS y Signals; sin NgRx inicialmente. Motivo: cubrir las necesidades del MVP con herramientas nativas y conocidas, incorporando una solución de estado más pesada solo si aparece complejidad real.</w:t>
      </w:r>
    </w:p>
    <w:p>
      <w:pPr>
        <w:pStyle w:val="Heading2"/>
      </w:pPr>
      <w:r>
        <w:t>ADR-T-009 — API REST con DTOs</w:t>
      </w:r>
    </w:p>
    <w:p>
      <w:r>
        <w:t>Decisión: REST + JSON y DTOs específicos de entrada/salida, sin exponer entidades JPA. Motivo: desacoplar contratos externos de persistencia y permitir representaciones adaptadas a cada caso de uso.</w:t>
      </w:r>
    </w:p>
    <w:p>
      <w:pPr>
        <w:pStyle w:val="Heading2"/>
      </w:pPr>
      <w:r>
        <w:t>ADR-T-010 — Prioridad a la fluidez del Kanban</w:t>
      </w:r>
    </w:p>
    <w:p>
      <w:r>
        <w:t>Decisión: carga principal compacta del tablero, detalle bajo demanda y optimistic UI en operaciones reversibles. Motivo: reducir esperas perceptibles en las interacciones más frecuentes sin introducir optimizaciones prematuras en todo el sistema.</w:t>
      </w:r>
    </w:p>
    <w:p>
      <w:pPr>
        <w:pStyle w:val="Heading1"/>
      </w:pPr>
      <w:r>
        <w:t>14. Decisiones deliberadamente diferidas</w:t>
      </w:r>
    </w:p>
    <w:p>
      <w:r>
        <w:t>Las siguientes decisiones no se consideran olvidadas. Se posponen porque dependen de implementación, mediciones o infraestructura todavía inexistente:</w:t>
      </w:r>
    </w:p>
    <w:p>
      <w:pPr>
        <w:pStyle w:val="ListBullet"/>
      </w:pPr>
      <w:r>
        <w:t>Proveedor y modelo de hosting para frontend, backend y PostgreSQL.</w:t>
      </w:r>
    </w:p>
    <w:p>
      <w:pPr>
        <w:pStyle w:val="ListBullet"/>
      </w:pPr>
      <w:r>
        <w:t>Proveedor o mecanismo concreto de envío de correo.</w:t>
      </w:r>
    </w:p>
    <w:p>
      <w:pPr>
        <w:pStyle w:val="ListBullet"/>
      </w:pPr>
      <w:r>
        <w:t>Duración exacta de sesiones y tokens de verificación/recuperación.</w:t>
      </w:r>
    </w:p>
    <w:p>
      <w:pPr>
        <w:pStyle w:val="ListBullet"/>
      </w:pPr>
      <w:r>
        <w:t>Parámetros concretos de Argon2id y mecanismo final de persistencia de sesiones.</w:t>
      </w:r>
    </w:p>
    <w:p>
      <w:pPr>
        <w:pStyle w:val="ListBullet"/>
      </w:pPr>
      <w:r>
        <w:t>Índices, planes de ejecución y consultas SQL optimizadas concretas.</w:t>
      </w:r>
    </w:p>
    <w:p>
      <w:pPr>
        <w:pStyle w:val="ListBullet"/>
      </w:pPr>
      <w:r>
        <w:t>Listado exhaustivo de endpoints, DTOs y códigos funcionales de error.</w:t>
      </w:r>
    </w:p>
    <w:p>
      <w:pPr>
        <w:pStyle w:val="ListBullet"/>
      </w:pPr>
      <w:r>
        <w:t>Estrategia de caché, si llegara a ser necesaria.</w:t>
      </w:r>
    </w:p>
    <w:p>
      <w:pPr>
        <w:pStyle w:val="ListBullet"/>
      </w:pPr>
      <w:r>
        <w:t>Plataforma de centralización de logs y observabilidad avanzada.</w:t>
      </w:r>
    </w:p>
    <w:p>
      <w:pPr>
        <w:pStyle w:val="ListBullet"/>
      </w:pPr>
      <w:r>
        <w:t>SonarQube/SonarCloud y otras herramientas de análisis estático adicionales.</w:t>
      </w:r>
    </w:p>
    <w:p>
      <w:pPr>
        <w:pStyle w:val="ListBullet"/>
      </w:pPr>
      <w:r>
        <w:t>Tests E2E y estrategia de contract testing/OpenAPI, si se justifican.</w:t>
      </w:r>
    </w:p>
    <w:p>
      <w:pPr>
        <w:pStyle w:val="ListBullet"/>
      </w:pPr>
      <w:r>
        <w:t>Librería concreta de drag &amp; drop y detalles de implementación visual del Kanban.</w:t>
      </w:r>
    </w:p>
    <w:p>
      <w:pPr>
        <w:pStyle w:val="ListBullet"/>
      </w:pPr>
      <w:r>
        <w:t>Versiones patch concretas de frameworks y base de datos, que se seleccionarán entre versiones estables y compatibles al inicializar o actualizar el proyecto.</w:t>
      </w:r>
    </w:p>
    <w:p>
      <w:pPr>
        <w:pStyle w:val="Heading1"/>
      </w:pPr>
      <w:r>
        <w:t>15. Estado de la arquitectura y siguiente fase</w:t>
      </w:r>
    </w:p>
    <w:p>
      <w:r>
        <w:t>La arquitectura técnica v0.1 contiene las decisiones suficientes para iniciar la construcción del proyecto sin bloquear el diseño con detalles prematuros. A partir de este punto, las decisiones restantes deberán tomarse preferentemente al implementar casos reales, documentando como ADR únicamente aquellas que tengan impacto arquitectónico o sean difíciles de revertir.</w:t>
      </w:r>
    </w:p>
    <w:p>
      <w:r>
        <w:t>La siguiente fase será crear el esqueleto del repositorio y de las aplicaciones backend/frontend, preparar PostgreSQL local con Docker, establecer la primera migración Flyway y comenzar por un flujo vertical pequeño que permita validar la arquitectura de extremo a extremo.</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757575"/>
        <w:sz w:val="16"/>
      </w:rPr>
      <w:t>Proyecto Kanban · Arquitectura técnica v0.1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ptos Display" w:hAnsi="Aptos Display"/>
      <w:b/>
      <w:bCs/>
      <w:color w:val="365F91"/>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4F81B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mainBlock">
    <w:name w:val="Domain Block"/>
    <w:pPr>
      <w:spacing w:after="20"/>
    </w:pPr>
    <w:rPr>
      <w:rFonts w:ascii="Aptos Mono" w:hAnsi="Aptos Mono"/>
      <w:sz w:val="18"/>
    </w:rPr>
  </w:style>
  <w:style w:type="paragraph" w:customStyle="1" w:styleId="CodeBlock">
    <w:name w:val="Code Block"/>
    <w:pPr>
      <w:spacing w:after="20"/>
      <w:ind w:left="240"/>
    </w:pPr>
    <w:rPr>
      <w:rFonts w:ascii="Aptos Mono" w:hAnsi="Aptos Mono"/>
      <w:sz w:val="17"/>
    </w:rPr>
  </w:style>
  <w:style w:type="paragraph" w:customStyle="1" w:styleId="ArchitectureNote">
    <w:name w:val="Architecture Note"/>
    <w:pPr>
      <w:spacing w:after="120"/>
    </w:pPr>
    <w:rPr>
      <w:rFonts w:ascii="Aptos" w:hAnsi="Aptos"/>
      <w:i/>
      <w:color w:val="595959"/>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 Kanban — Arquitectura técnica v0.1</dc:title>
  <dc:subject>Arquitectura técnica del Proyecto Kanban</dc:subject>
  <dc:creator>python-docx</dc:creator>
  <cp:keywords/>
  <dc:description>Baseline técnica previa a la construcción.</dc:description>
  <cp:lastModifiedBy/>
  <cp:revision>1</cp:revision>
  <dcterms:created xsi:type="dcterms:W3CDTF">2013-12-23T23:15:00Z</dcterms:created>
  <dcterms:modified xsi:type="dcterms:W3CDTF">2013-12-23T23:15:00Z</dcterms:modified>
  <cp:category/>
</cp:coreProperties>
</file>