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Appendix B: </w:t>
      </w:r>
      <w:r w:rsidDel="00000000" w:rsidR="00000000" w:rsidRPr="00000000">
        <w:rPr>
          <w:sz w:val="48"/>
          <w:szCs w:val="48"/>
          <w:rtl w:val="0"/>
        </w:rPr>
        <w:t xml:space="preserve">Controlled Experiment Protocol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Evaluate practitioners’ perceptions of three architectural proposals—Reference (Implemented), Zero-Shot (ZS), and Few-Shot (FS)—all presented anonymously as Architectures A, B, and C.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Participant Recruitment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Profile: Senior software architects (≥5 years in distributed/microservice design).</w:t>
        <w:br w:type="textWrapping"/>
        <w:t xml:space="preserve">• Sample: 4–8 participants.</w:t>
        <w:br w:type="textWrapping"/>
        <w:t xml:space="preserve">• Consent &amp; Anonymity: Obtain informed consent; ensure confidentiality.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Materials Preparation &amp; Blind Labeling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Artifacts per system (Bookstore, PetClinic):</w:t>
        <w:br w:type="textWrapping"/>
        <w:t xml:space="preserve">  - Textual Requirements (clean, numbered).</w:t>
        <w:br w:type="textWrapping"/>
        <w:t xml:space="preserve">  - Three Architectures (Textual Annotations and Graphical Representations):</w:t>
        <w:br w:type="textWrapping"/>
        <w:t xml:space="preserve">    - Reference (Implemented)</w:t>
        <w:br w:type="textWrapping"/>
        <w:t xml:space="preserve">    - ZS (GPT-4 zero-shot)</w:t>
        <w:br w:type="textWrapping"/>
        <w:t xml:space="preserve">    - FS (GPT-4 few-shot)</w:t>
        <w:br w:type="textWrapping"/>
        <w:br w:type="textWrapping"/>
        <w:t xml:space="preserve">Random Assignment to Labels A/B/C:</w:t>
        <w:br w:type="textWrapping"/>
        <w:t xml:space="preserve">  - For each participant and system, randomly permute the three architectures and assign to labels A, B, C.</w:t>
        <w:br w:type="textWrapping"/>
        <w:t xml:space="preserve">  - Record mapping privately; participants see only “Architecture A,” “Architecture B,” “Architecture C.”</w:t>
        <w:br w:type="textWrapping"/>
        <w:br w:type="textWrapping"/>
        <w:t xml:space="preserve">Evaluation Form: Expert Evaluation Form with Part I (Likert scales) and Part II (open questions).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Session Flow (~60 minutes)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Introduction (5 min): Explain purpose and instructions.</w:t>
        <w:br w:type="textWrapping"/>
        <w:t xml:space="preserve">• Warm-Up (5 min): Practice task.</w:t>
        <w:br w:type="textWrapping"/>
        <w:t xml:space="preserve">• System Evaluation (×2; ~25 min each):</w:t>
        <w:br w:type="textWrapping"/>
        <w:t xml:space="preserve">    a. Review Requirements (5 min)</w:t>
        <w:br w:type="textWrapping"/>
        <w:t xml:space="preserve">    b. Examine Architecture A (5 min) → complete Part I &amp; II</w:t>
        <w:br w:type="textWrapping"/>
        <w:t xml:space="preserve">    c. Examine Architecture B (5 min) → complete Part I &amp; II</w:t>
        <w:br w:type="textWrapping"/>
        <w:t xml:space="preserve">    d. Examine Architecture C (5 min) → complete Part I &amp; II</w:t>
        <w:br w:type="textWrapping"/>
        <w:t xml:space="preserve">    e. Additional Comments (5 min)</w:t>
        <w:br w:type="textWrapping"/>
        <w:br w:type="textWrapping"/>
        <w:t xml:space="preserve">• Debrief (5 min): Collect feedback.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Fairness Measures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Blind Presentation: No indication which label is Reference, ZS, or FS.</w:t>
        <w:br w:type="textWrapping"/>
        <w:t xml:space="preserve">• Counterbalancing: Randomize label assignments and system order per participant.</w:t>
        <w:br w:type="textWrapping"/>
        <w:t xml:space="preserve">• Uniform Formatting: Ensure identical style across architectures.</w:t>
        <w:br w:type="textWrapping"/>
        <w:t xml:space="preserve">• Standardized Instructions: Use a scripted briefing.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Data Collection &amp;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Quantitative: Compare Part I ratings across A/B/C using nonparametric tests (e.g., Friedman, Wilcoxon).</w:t>
        <w:br w:type="textWrapping"/>
        <w:t xml:space="preserve">• Qualitative: Thematically code Part II responses per label.</w:t>
        <w:br w:type="textWrapping"/>
        <w:t xml:space="preserve">• Post-Hoc Mapping: Reveal which label corresponds to Reference, ZS, and FS to interpret results for RQ3.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ThcMfdGj7DS+68mEIl8A8PC6Pg==">CgMxLjA4AHIhMVpGOVpHQXAwTTNubDhkLTFfd3NMbllwQjVzVndqbmpG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