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Supplementary tables</w:t>
      </w: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S1 </w:t>
      </w:r>
      <w:r>
        <w:rPr>
          <w:sz w:val="18"/>
        </w:rPr>
        <w:t>Predictor audit: type, completeness and time of availability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75"/>
        <w:gridCol w:w="1233"/>
        <w:gridCol w:w="780"/>
        <w:gridCol w:w="746"/>
        <w:gridCol w:w="1384"/>
        <w:gridCol w:w="2053"/>
      </w:tblGrid>
      <w:tr>
        <w:trPr>
          <w:tblHeader w:val="true"/>
        </w:trPr>
        <w:tc>
          <w:tcPr>
            <w:tcW w:type="dxa" w:w="287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123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78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Missing</w:t>
            </w:r>
          </w:p>
        </w:tc>
        <w:tc>
          <w:tcPr>
            <w:tcW w:type="dxa" w:w="74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Unique values</w:t>
            </w:r>
          </w:p>
        </w:tc>
        <w:tc>
          <w:tcPr>
            <w:tcW w:type="dxa" w:w="138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Available at</w:t>
            </w:r>
          </w:p>
        </w:tc>
        <w:tc>
          <w:tcPr>
            <w:tcW w:type="dxa" w:w="205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Figure label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Marital status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nominal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Marital status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Application mode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nominal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Application mode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Application order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Application order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Course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nominal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Course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Daytime/evening attendance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binary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Daytime attendance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Previous qualification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nominal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Previous qualification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Previous qualification (grade)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Previous qualification (grade)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Nacionality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nominal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Nationality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Mother's qualification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nominal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Mother's qualification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Father's qualification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nominal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Father's qualification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Mother's occupation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nominal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Mother's occupation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Father's occupation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nominal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Father's occupation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Admission grade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Admission grade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Displaced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binary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Displaced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Educational special needs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binary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Educational special needs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Debtor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binary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Debtor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Tuition fees up to date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binary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Tuition fees up to date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Gender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binary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Gender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Scholarship holder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binary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Scholarship holder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Age at enrollment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Age at enrollment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International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binary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International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(credited)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1st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CU1 credited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(enrolled)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1st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CU1 enrolled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(evaluations)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1st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CU1 evaluations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(approved)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1st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CU1 approved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(grade)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805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1st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CU1 grade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(without evaluations)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1st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CU1 without evaluations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(credited)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2nd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CU2 credited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(enrolled)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2nd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CU2 enrolled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(evaluations)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2nd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CU2 evaluations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(approved)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2nd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CU2 approved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(grade)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786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2nd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CU2 grade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(without evaluations)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2nd semester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CU2 without evaluations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Unemployment rate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Unemployment rate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Inflation rate</w:t>
            </w:r>
          </w:p>
        </w:tc>
        <w:tc>
          <w:tcPr>
            <w:tcW w:type="dxa" w:w="123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3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Inflation rate</w:t>
            </w:r>
          </w:p>
        </w:tc>
      </w:tr>
      <w:tr>
        <w:trPr>
          <w:cantSplit w:val="true"/>
        </w:trPr>
        <w:tc>
          <w:tcPr>
            <w:tcW w:type="dxa" w:w="287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GDP</w:t>
            </w:r>
          </w:p>
        </w:tc>
        <w:tc>
          <w:tcPr>
            <w:tcW w:type="dxa" w:w="123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quantitative</w:t>
            </w:r>
          </w:p>
        </w:tc>
        <w:tc>
          <w:tcPr>
            <w:tcW w:type="dxa" w:w="78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4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8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</w:t>
            </w:r>
          </w:p>
        </w:tc>
        <w:tc>
          <w:tcPr>
            <w:tcW w:type="dxa" w:w="205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GDP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Nominal predictors are integer-coded in the source file and were one-hot encoded within training folds (categories with &lt; 20 training records pooled as infrequent). Time of availability follows the data descriptor (Realinho et al., 2022). Figure label: abbreviation used in the figures (CU1/CU2, curricular units in the first/second semester).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S2 </w:t>
      </w:r>
      <w:r>
        <w:rPr>
          <w:sz w:val="18"/>
        </w:rPr>
        <w:t>Audit of predictor-profile multiplicity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3"/>
        <w:gridCol w:w="1348"/>
      </w:tblGrid>
      <w:tr>
        <w:trPr>
          <w:tblHeader w:val="true"/>
        </w:trPr>
        <w:tc>
          <w:tcPr>
            <w:tcW w:type="dxa" w:w="772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134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77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Records</w:t>
            </w:r>
          </w:p>
        </w:tc>
        <w:tc>
          <w:tcPr>
            <w:tcW w:type="dxa" w:w="13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4,424</w:t>
            </w:r>
          </w:p>
        </w:tc>
      </w:tr>
      <w:tr>
        <w:trPr>
          <w:cantSplit w:val="true"/>
        </w:trPr>
        <w:tc>
          <w:tcPr>
            <w:tcW w:type="dxa" w:w="77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Distinct predictor profiles</w:t>
            </w:r>
          </w:p>
        </w:tc>
        <w:tc>
          <w:tcPr>
            <w:tcW w:type="dxa" w:w="13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4,424</w:t>
            </w:r>
          </w:p>
        </w:tc>
      </w:tr>
      <w:tr>
        <w:trPr>
          <w:cantSplit w:val="true"/>
        </w:trPr>
        <w:tc>
          <w:tcPr>
            <w:tcW w:type="dxa" w:w="77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Profiles shared by ≥ 2 records</w:t>
            </w:r>
          </w:p>
        </w:tc>
        <w:tc>
          <w:tcPr>
            <w:tcW w:type="dxa" w:w="13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77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Records in shared profiles</w:t>
            </w:r>
          </w:p>
        </w:tc>
        <w:tc>
          <w:tcPr>
            <w:tcW w:type="dxa" w:w="13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77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Shared profiles with discordant outcomes</w:t>
            </w:r>
          </w:p>
        </w:tc>
        <w:tc>
          <w:tcPr>
            <w:tcW w:type="dxa" w:w="13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772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Largest profile size</w:t>
            </w:r>
          </w:p>
        </w:tc>
        <w:tc>
          <w:tcPr>
            <w:tcW w:type="dxa" w:w="134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A profile is the full vector of the 36 predictors. All partitions (holdout, outer and inner cross-validation, calibration and stacking folds) were grouped by profile so that identical profiles never appear on both sides of a split.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S3 </w:t>
      </w:r>
      <w:r>
        <w:rPr>
          <w:sz w:val="18"/>
        </w:rPr>
        <w:t>Audit of the prespecified tolerance-based selection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058"/>
        <w:gridCol w:w="1474"/>
        <w:gridCol w:w="1058"/>
        <w:gridCol w:w="919"/>
        <w:gridCol w:w="1613"/>
      </w:tblGrid>
      <w:tr>
        <w:trPr>
          <w:tblHeader w:val="true"/>
        </w:trPr>
        <w:tc>
          <w:tcPr>
            <w:tcW w:type="dxa" w:w="147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147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105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Best</w:t>
            </w:r>
          </w:p>
        </w:tc>
        <w:tc>
          <w:tcPr>
            <w:tcW w:type="dxa" w:w="147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Tolerance</w:t>
            </w:r>
          </w:p>
        </w:tc>
        <w:tc>
          <w:tcPr>
            <w:tcW w:type="dxa" w:w="105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Before</w:t>
            </w:r>
          </w:p>
        </w:tc>
        <w:tc>
          <w:tcPr>
            <w:tcW w:type="dxa" w:w="91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After</w:t>
            </w:r>
          </w:p>
        </w:tc>
        <w:tc>
          <w:tcPr>
            <w:tcW w:type="dxa" w:w="161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Retained models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147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maximise</w:t>
            </w:r>
          </w:p>
        </w:tc>
        <w:tc>
          <w:tcPr>
            <w:tcW w:type="dxa" w:w="105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0.7246</w:t>
            </w:r>
          </w:p>
        </w:tc>
        <w:tc>
          <w:tcPr>
            <w:tcW w:type="dxa" w:w="147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0.005</w:t>
            </w:r>
          </w:p>
        </w:tc>
        <w:tc>
          <w:tcPr>
            <w:tcW w:type="dxa" w:w="105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91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1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Each criterion retains the candidates within the stated tolerance of the best value among those still eligible.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S5 </w:t>
      </w:r>
      <w:r>
        <w:rPr>
          <w:sz w:val="18"/>
        </w:rPr>
        <w:t>Comparison of calibration methods in repeated nested cross-validation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4"/>
        <w:gridCol w:w="972"/>
        <w:gridCol w:w="770"/>
        <w:gridCol w:w="972"/>
        <w:gridCol w:w="1275"/>
        <w:gridCol w:w="1174"/>
        <w:gridCol w:w="1174"/>
      </w:tblGrid>
      <w:tr>
        <w:trPr>
          <w:tblHeader w:val="true"/>
        </w:trPr>
        <w:tc>
          <w:tcPr>
            <w:tcW w:type="dxa" w:w="273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Calibration</w:t>
            </w:r>
          </w:p>
        </w:tc>
        <w:tc>
          <w:tcPr>
            <w:tcW w:type="dxa" w:w="97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77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Brier score</w:t>
            </w:r>
          </w:p>
        </w:tc>
        <w:tc>
          <w:tcPr>
            <w:tcW w:type="dxa" w:w="97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Log-loss</w:t>
            </w:r>
          </w:p>
        </w:tc>
        <w:tc>
          <w:tcPr>
            <w:tcW w:type="dxa" w:w="127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ECE (top-label)</w:t>
            </w:r>
          </w:p>
        </w:tc>
        <w:tc>
          <w:tcPr>
            <w:tcW w:type="dxa" w:w="117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Class-wise ECE</w:t>
            </w:r>
          </w:p>
        </w:tc>
        <w:tc>
          <w:tcPr>
            <w:tcW w:type="dxa" w:w="117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ECE (Enrolled)</w:t>
            </w:r>
          </w:p>
        </w:tc>
      </w:tr>
      <w:tr>
        <w:trPr>
          <w:cantSplit w:val="true"/>
        </w:trPr>
        <w:tc>
          <w:tcPr>
            <w:tcW w:type="dxa" w:w="1174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Soft voting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Uncalibrated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0.3153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0.061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0.054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0.057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Temperature scaling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0.3108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0.553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0.042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Isotonic (OvR) †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0.713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0.3099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0.561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0.037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Dirichlet (matrix scaling)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0.3076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0.547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</w:tr>
      <w:tr>
        <w:trPr>
          <w:cantSplit w:val="true"/>
        </w:trPr>
        <w:tc>
          <w:tcPr>
            <w:tcW w:type="dxa" w:w="1174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XGBoost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Uncalibrated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0.3141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0.558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0.042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0.045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Temperature scaling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0.3138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0.557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Isotonic (OvR)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0.703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0.3124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0.565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0.040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Dirichlet (matrix scaling) †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0.707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0.3092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0.550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</w:tr>
      <w:tr>
        <w:trPr>
          <w:cantSplit w:val="true"/>
        </w:trPr>
        <w:tc>
          <w:tcPr>
            <w:tcW w:type="dxa" w:w="1174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LightGBM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Uncalibrated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0.3134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0.557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Temperature scaling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0.3141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0.558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Isotonic (OvR)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0.709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0.3130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0.568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Dirichlet (matrix scaling) †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0.707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0.3089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0.549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0.032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</w:t>
            </w:r>
          </w:p>
        </w:tc>
      </w:tr>
      <w:tr>
        <w:trPr>
          <w:cantSplit w:val="true"/>
        </w:trPr>
        <w:tc>
          <w:tcPr>
            <w:tcW w:type="dxa" w:w="1174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Gradient boosting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Uncalibrated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0.713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0.3186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0.566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0.045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Temperature scaling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0.713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0.3189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0.566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Isotonic (OvR)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0.703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0.3176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0.569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Dirichlet (matrix scaling) †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0.704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0.3144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0.558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</w:tr>
      <w:tr>
        <w:trPr>
          <w:cantSplit w:val="true"/>
        </w:trPr>
        <w:tc>
          <w:tcPr>
            <w:tcW w:type="dxa" w:w="1174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Stacking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Uncalibrated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0.712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0.3080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0.554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0.037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Temperature scaling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0.712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0.3081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0.554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Isotonic (OvR)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0.709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0.3082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0.563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0.037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0.037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Dirichlet (matrix scaling) †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0.713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0.3084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0.553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</w:tr>
      <w:tr>
        <w:trPr>
          <w:cantSplit w:val="true"/>
        </w:trPr>
        <w:tc>
          <w:tcPr>
            <w:tcW w:type="dxa" w:w="1174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Extra trees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Uncalibrated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0.711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0.3385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0.604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0.057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0.060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0.067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Temperature scaling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0.711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0.3355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0.599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0.055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0.064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Isotonic (OvR) †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0.698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0.3253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0.589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Dirichlet (matrix scaling)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0.683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0.3255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0.582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</w:t>
            </w:r>
          </w:p>
        </w:tc>
      </w:tr>
      <w:tr>
        <w:trPr>
          <w:cantSplit w:val="true"/>
        </w:trPr>
        <w:tc>
          <w:tcPr>
            <w:tcW w:type="dxa" w:w="1174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Random forest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Uncalibrated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0.710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0.3469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0.622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0.099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0.080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0.079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Temperature scaling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0.710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0.3299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0.587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0.037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0.045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0.053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Isotonic (OvR)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0.703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0.3257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0.587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Dirichlet (matrix scaling) †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0.698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0.3234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0.576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</w:tr>
      <w:tr>
        <w:trPr>
          <w:cantSplit w:val="true"/>
        </w:trPr>
        <w:tc>
          <w:tcPr>
            <w:tcW w:type="dxa" w:w="1174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CatBoost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Uncalibrated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0.3252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0.575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0.045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0.052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Temperature scaling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0.3245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0.574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0.044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0.047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Isotonic (OvR)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0.697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0.3213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0.579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0.037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Dirichlet (matrix scaling) †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0.690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0.3177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0.563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0.030</w:t>
            </w:r>
          </w:p>
        </w:tc>
      </w:tr>
      <w:tr>
        <w:trPr>
          <w:cantSplit w:val="true"/>
        </w:trPr>
        <w:tc>
          <w:tcPr>
            <w:tcW w:type="dxa" w:w="1174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Logistic regression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Uncalibrated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0.700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0.3468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0.611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0.040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0.066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0.082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Temperature scaling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0.700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0.3472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0.608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0.042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0.070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0.087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Isotonic (OvR)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0.695</w:t>
            </w:r>
          </w:p>
        </w:tc>
        <w:tc>
          <w:tcPr>
            <w:tcW w:type="dxa" w:w="77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0.3254</w:t>
            </w:r>
          </w:p>
        </w:tc>
        <w:tc>
          <w:tcPr>
            <w:tcW w:type="dxa" w:w="97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0.591</w:t>
            </w:r>
          </w:p>
        </w:tc>
        <w:tc>
          <w:tcPr>
            <w:tcW w:type="dxa" w:w="127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0.037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  <w:tc>
          <w:tcPr>
            <w:tcW w:type="dxa" w:w="117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</w:t>
            </w:r>
          </w:p>
        </w:tc>
      </w:tr>
      <w:tr>
        <w:trPr>
          <w:cantSplit w:val="true"/>
        </w:trPr>
        <w:tc>
          <w:tcPr>
            <w:tcW w:type="dxa" w:w="273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Dirichlet (matrix scaling) †</w:t>
            </w:r>
          </w:p>
        </w:tc>
        <w:tc>
          <w:tcPr>
            <w:tcW w:type="dxa" w:w="97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0.694</w:t>
            </w:r>
          </w:p>
        </w:tc>
        <w:tc>
          <w:tcPr>
            <w:tcW w:type="dxa" w:w="77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0.3188</w:t>
            </w:r>
          </w:p>
        </w:tc>
        <w:tc>
          <w:tcPr>
            <w:tcW w:type="dxa" w:w="97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0.569</w:t>
            </w:r>
          </w:p>
        </w:tc>
        <w:tc>
          <w:tcPr>
            <w:tcW w:type="dxa" w:w="127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  <w:tc>
          <w:tcPr>
            <w:tcW w:type="dxa" w:w="117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17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Means over outer folds; all methods evaluated on the same validation observations. † Lowest class-wise ECE for the model. Temperature scaling was prespecified as primary because it preserves the predicted class; isotonic regression was fitted one-vs-rest and renormalised; Dirichlet calibration is a multinomial logistic regression on log-probabilities (matrix scaling, L2).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S6 </w:t>
      </w:r>
      <w:r>
        <w:rPr>
          <w:sz w:val="18"/>
        </w:rPr>
        <w:t>Performance and calibration of the frozen Soft voting by subgroup (holdout)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0"/>
        <w:gridCol w:w="510"/>
        <w:gridCol w:w="2081"/>
        <w:gridCol w:w="1020"/>
        <w:gridCol w:w="1080"/>
        <w:gridCol w:w="1080"/>
        <w:gridCol w:w="840"/>
        <w:gridCol w:w="1280"/>
      </w:tblGrid>
      <w:tr>
        <w:trPr>
          <w:tblHeader w:val="true"/>
        </w:trPr>
        <w:tc>
          <w:tcPr>
            <w:tcW w:type="dxa" w:w="118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Level</w:t>
            </w:r>
          </w:p>
        </w:tc>
        <w:tc>
          <w:tcPr>
            <w:tcW w:type="dxa" w:w="51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2081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Macro-F1 (95% CI)</w:t>
            </w:r>
          </w:p>
        </w:tc>
        <w:tc>
          <w:tcPr>
            <w:tcW w:type="dxa" w:w="102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Recall Dropout</w:t>
            </w:r>
          </w:p>
        </w:tc>
        <w:tc>
          <w:tcPr>
            <w:tcW w:type="dxa" w:w="108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Recall Enrolled</w:t>
            </w:r>
          </w:p>
        </w:tc>
        <w:tc>
          <w:tcPr>
            <w:tcW w:type="dxa" w:w="108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Recall Graduate</w:t>
            </w:r>
          </w:p>
        </w:tc>
        <w:tc>
          <w:tcPr>
            <w:tcW w:type="dxa" w:w="84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Brier score</w:t>
            </w:r>
          </w:p>
        </w:tc>
        <w:tc>
          <w:tcPr>
            <w:tcW w:type="dxa" w:w="128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Class-wise ECE</w:t>
            </w:r>
          </w:p>
        </w:tc>
      </w:tr>
      <w:tr>
        <w:trPr>
          <w:cantSplit w:val="true"/>
        </w:trPr>
        <w:tc>
          <w:tcPr>
            <w:tcW w:type="dxa" w:w="1280"/>
            <w:gridSpan w:val="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Gender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Female</w:t>
            </w:r>
          </w:p>
        </w:tc>
        <w:tc>
          <w:tcPr>
            <w:tcW w:type="dxa" w:w="51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208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0.754 (0.710–0.792)</w:t>
            </w:r>
          </w:p>
        </w:tc>
        <w:tc>
          <w:tcPr>
            <w:tcW w:type="dxa" w:w="102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0.748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0.515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8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0.2883</w:t>
            </w:r>
          </w:p>
        </w:tc>
        <w:tc>
          <w:tcPr>
            <w:tcW w:type="dxa" w:w="12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Male</w:t>
            </w:r>
          </w:p>
        </w:tc>
        <w:tc>
          <w:tcPr>
            <w:tcW w:type="dxa" w:w="51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208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 (0.655–0.763)</w:t>
            </w:r>
          </w:p>
        </w:tc>
        <w:tc>
          <w:tcPr>
            <w:tcW w:type="dxa" w:w="102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0.823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0.483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0.811</w:t>
            </w:r>
          </w:p>
        </w:tc>
        <w:tc>
          <w:tcPr>
            <w:tcW w:type="dxa" w:w="8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0.3312</w:t>
            </w:r>
          </w:p>
        </w:tc>
        <w:tc>
          <w:tcPr>
            <w:tcW w:type="dxa" w:w="12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0.054</w:t>
            </w:r>
          </w:p>
        </w:tc>
      </w:tr>
      <w:tr>
        <w:trPr>
          <w:cantSplit w:val="true"/>
        </w:trPr>
        <w:tc>
          <w:tcPr>
            <w:tcW w:type="dxa" w:w="1280"/>
            <w:gridSpan w:val="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Scholarship holder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1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674</w:t>
            </w:r>
          </w:p>
        </w:tc>
        <w:tc>
          <w:tcPr>
            <w:tcW w:type="dxa" w:w="208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0.740 (0.706–0.777)</w:t>
            </w:r>
          </w:p>
        </w:tc>
        <w:tc>
          <w:tcPr>
            <w:tcW w:type="dxa" w:w="102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0.821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0.522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0.863</w:t>
            </w:r>
          </w:p>
        </w:tc>
        <w:tc>
          <w:tcPr>
            <w:tcW w:type="dxa" w:w="8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0.3184</w:t>
            </w:r>
          </w:p>
        </w:tc>
        <w:tc>
          <w:tcPr>
            <w:tcW w:type="dxa" w:w="12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0.044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1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208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0.678 (0.584–0.772)</w:t>
            </w:r>
          </w:p>
        </w:tc>
        <w:tc>
          <w:tcPr>
            <w:tcW w:type="dxa" w:w="102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0.500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0.381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0.987</w:t>
            </w:r>
          </w:p>
        </w:tc>
        <w:tc>
          <w:tcPr>
            <w:tcW w:type="dxa" w:w="8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0.2542</w:t>
            </w:r>
          </w:p>
        </w:tc>
        <w:tc>
          <w:tcPr>
            <w:tcW w:type="dxa" w:w="12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0.057</w:t>
            </w:r>
          </w:p>
        </w:tc>
      </w:tr>
      <w:tr>
        <w:trPr>
          <w:cantSplit w:val="true"/>
        </w:trPr>
        <w:tc>
          <w:tcPr>
            <w:tcW w:type="dxa" w:w="1280"/>
            <w:gridSpan w:val="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Age at enrolment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&gt; 20 years</w:t>
            </w:r>
          </w:p>
        </w:tc>
        <w:tc>
          <w:tcPr>
            <w:tcW w:type="dxa" w:w="51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208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0.766 (0.710–0.817)</w:t>
            </w:r>
          </w:p>
        </w:tc>
        <w:tc>
          <w:tcPr>
            <w:tcW w:type="dxa" w:w="102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0.877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0.517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0.891</w:t>
            </w:r>
          </w:p>
        </w:tc>
        <w:tc>
          <w:tcPr>
            <w:tcW w:type="dxa" w:w="8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0.2702</w:t>
            </w:r>
          </w:p>
        </w:tc>
        <w:tc>
          <w:tcPr>
            <w:tcW w:type="dxa" w:w="12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0.048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≤ 20 years</w:t>
            </w:r>
          </w:p>
        </w:tc>
        <w:tc>
          <w:tcPr>
            <w:tcW w:type="dxa" w:w="51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208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0.711 (0.667–0.757)</w:t>
            </w:r>
          </w:p>
        </w:tc>
        <w:tc>
          <w:tcPr>
            <w:tcW w:type="dxa" w:w="102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0.664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0.495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0.915</w:t>
            </w:r>
          </w:p>
        </w:tc>
        <w:tc>
          <w:tcPr>
            <w:tcW w:type="dxa" w:w="8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0.3253</w:t>
            </w:r>
          </w:p>
        </w:tc>
        <w:tc>
          <w:tcPr>
            <w:tcW w:type="dxa" w:w="12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0.047</w:t>
            </w:r>
          </w:p>
        </w:tc>
      </w:tr>
      <w:tr>
        <w:trPr>
          <w:cantSplit w:val="true"/>
        </w:trPr>
        <w:tc>
          <w:tcPr>
            <w:tcW w:type="dxa" w:w="1280"/>
            <w:gridSpan w:val="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Displaced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1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208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0.782 (0.734–0.829)</w:t>
            </w:r>
          </w:p>
        </w:tc>
        <w:tc>
          <w:tcPr>
            <w:tcW w:type="dxa" w:w="102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0.893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0.507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0.917</w:t>
            </w:r>
          </w:p>
        </w:tc>
        <w:tc>
          <w:tcPr>
            <w:tcW w:type="dxa" w:w="8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0.2578</w:t>
            </w:r>
          </w:p>
        </w:tc>
        <w:tc>
          <w:tcPr>
            <w:tcW w:type="dxa" w:w="12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1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208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0.697 (0.656–0.739)</w:t>
            </w:r>
          </w:p>
        </w:tc>
        <w:tc>
          <w:tcPr>
            <w:tcW w:type="dxa" w:w="102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0.648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0.500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0.900</w:t>
            </w:r>
          </w:p>
        </w:tc>
        <w:tc>
          <w:tcPr>
            <w:tcW w:type="dxa" w:w="8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0.3427</w:t>
            </w:r>
          </w:p>
        </w:tc>
        <w:tc>
          <w:tcPr>
            <w:tcW w:type="dxa" w:w="12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0.055</w:t>
            </w:r>
          </w:p>
        </w:tc>
      </w:tr>
      <w:tr>
        <w:trPr>
          <w:cantSplit w:val="true"/>
        </w:trPr>
        <w:tc>
          <w:tcPr>
            <w:tcW w:type="dxa" w:w="1280"/>
            <w:gridSpan w:val="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Debtor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1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794</w:t>
            </w:r>
          </w:p>
        </w:tc>
        <w:tc>
          <w:tcPr>
            <w:tcW w:type="dxa" w:w="208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0.749 (0.715–0.781)</w:t>
            </w:r>
          </w:p>
        </w:tc>
        <w:tc>
          <w:tcPr>
            <w:tcW w:type="dxa" w:w="102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0.763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0.532</w:t>
            </w:r>
          </w:p>
        </w:tc>
        <w:tc>
          <w:tcPr>
            <w:tcW w:type="dxa" w:w="10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0.910</w:t>
            </w:r>
          </w:p>
        </w:tc>
        <w:tc>
          <w:tcPr>
            <w:tcW w:type="dxa" w:w="8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0.3006</w:t>
            </w:r>
          </w:p>
        </w:tc>
        <w:tc>
          <w:tcPr>
            <w:tcW w:type="dxa" w:w="128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0.040</w:t>
            </w:r>
          </w:p>
        </w:tc>
      </w:tr>
      <w:tr>
        <w:trPr>
          <w:cantSplit w:val="true"/>
        </w:trPr>
        <w:tc>
          <w:tcPr>
            <w:tcW w:type="dxa" w:w="118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1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081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0.667 (0.559–0.775)</w:t>
            </w:r>
          </w:p>
        </w:tc>
        <w:tc>
          <w:tcPr>
            <w:tcW w:type="dxa" w:w="102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0.885</w:t>
            </w:r>
          </w:p>
        </w:tc>
        <w:tc>
          <w:tcPr>
            <w:tcW w:type="dxa" w:w="108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0.300</w:t>
            </w:r>
          </w:p>
        </w:tc>
        <w:tc>
          <w:tcPr>
            <w:tcW w:type="dxa" w:w="108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0.842</w:t>
            </w:r>
          </w:p>
        </w:tc>
        <w:tc>
          <w:tcPr>
            <w:tcW w:type="dxa" w:w="84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0.3244</w:t>
            </w:r>
          </w:p>
        </w:tc>
        <w:tc>
          <w:tcPr>
            <w:tcW w:type="dxa" w:w="128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0.103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Exploratory fairness check; levels with n &lt; 30 or without all three classes are not estimated (NE). 95% CIs from bootstrap resamples stratified by class within the subgroup. Subgroup estimates are imprecise and should not be over-interpreted.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S7 </w:t>
      </w:r>
      <w:r>
        <w:rPr>
          <w:sz w:val="18"/>
        </w:rPr>
        <w:t>Fidelity, agreement and stability of the explanations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95"/>
        <w:gridCol w:w="2576"/>
      </w:tblGrid>
      <w:tr>
        <w:trPr>
          <w:tblHeader w:val="true"/>
        </w:trPr>
        <w:tc>
          <w:tcPr>
            <w:tcW w:type="dxa" w:w="649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257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LIME local R², median (IQR) — All explained students (n = 30)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0.342 (0.288–0.383)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LIME local R², median (IQR) — Predicted Dropout (n = 6)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0.649 (0.427–0.682)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LIME local R², median (IQR) — Predicted Enrolled (n = 6)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0.364 (0.353–0.380)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LIME local R², median (IQR) — Predicted Graduate (n = 18)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0.312 (0.256–0.342)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LIME R² ≥ 0.50, n (%)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4 (13%)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Local SHAP–LIME Spearman ρ of |attributions|, median (IQR)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0.57 (0.36–0.70)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Local SHAP–LIME sign agreement, median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0.90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Local SHAP–LIME top-5 overlap (Jaccard), median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0.43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SHAP bootstrap Kendall τ with full-sample ranking, median (2.5th–97.5th percentile)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0.96 (0.94–0.98)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SHAP vs permutation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τ = 0.65; top-10 Jaccard = 0.67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SHAP vs LIME (aggregated)</w:t>
            </w:r>
          </w:p>
        </w:tc>
        <w:tc>
          <w:tcPr>
            <w:tcW w:type="dxa" w:w="25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τ = 0.41; top-10 Jaccard = 0.54</w:t>
            </w:r>
          </w:p>
        </w:tc>
      </w:tr>
      <w:tr>
        <w:trPr>
          <w:cantSplit w:val="true"/>
        </w:trPr>
        <w:tc>
          <w:tcPr>
            <w:tcW w:type="dxa" w:w="649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Permutation vs LIME (aggregated)</w:t>
            </w:r>
          </w:p>
        </w:tc>
        <w:tc>
          <w:tcPr>
            <w:tcW w:type="dxa" w:w="257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τ = 0.34; top-10 Jaccard = 0.54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LIME (3,000 perturbations per student; nominal and binary predictors declared categorical) explained the predicted class of students sampled evenly from the three observed classes; explanations are interpretable only if R² ≥ 0.50. Local agreement compares SHAP and LIME for the same student, class and frozen model over the predictors selected by LIME.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S8 </w:t>
      </w:r>
      <w:r>
        <w:rPr>
          <w:sz w:val="18"/>
        </w:rPr>
        <w:t>Stability of global importance across the best-performing frozen candidates (permutation importance, holdout)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52"/>
        <w:gridCol w:w="2703"/>
        <w:gridCol w:w="2516"/>
      </w:tblGrid>
      <w:tr>
        <w:trPr>
          <w:tblHeader w:val="true"/>
        </w:trPr>
        <w:tc>
          <w:tcPr>
            <w:tcW w:type="dxa" w:w="385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270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Kendall τ (all predictors)</w:t>
            </w:r>
          </w:p>
        </w:tc>
        <w:tc>
          <w:tcPr>
            <w:tcW w:type="dxa" w:w="251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Top-10 overlap (Jaccard)</w:t>
            </w:r>
          </w:p>
        </w:tc>
      </w:tr>
      <w:tr>
        <w:trPr>
          <w:cantSplit w:val="true"/>
        </w:trPr>
        <w:tc>
          <w:tcPr>
            <w:tcW w:type="dxa" w:w="38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 vs XGBoost</w:t>
            </w:r>
          </w:p>
        </w:tc>
        <w:tc>
          <w:tcPr>
            <w:tcW w:type="dxa" w:w="27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  <w:tc>
          <w:tcPr>
            <w:tcW w:type="dxa" w:w="251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</w:tr>
      <w:tr>
        <w:trPr>
          <w:cantSplit w:val="true"/>
        </w:trPr>
        <w:tc>
          <w:tcPr>
            <w:tcW w:type="dxa" w:w="385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 vs LightGBM</w:t>
            </w:r>
          </w:p>
        </w:tc>
        <w:tc>
          <w:tcPr>
            <w:tcW w:type="dxa" w:w="270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251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Kendall τ over all 36 predictors and overlap of the top-10 predictors between the selected candidate and the next-best candidates in nested cross-validation.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S9 </w:t>
      </w:r>
      <w:r>
        <w:rPr>
          <w:sz w:val="18"/>
        </w:rPr>
        <w:t>Expected versus observed number of students per class on the holdout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485"/>
      </w:tblGrid>
      <w:tr>
        <w:trPr>
          <w:tblHeader w:val="true"/>
        </w:trPr>
        <w:tc>
          <w:tcPr>
            <w:tcW w:type="dxa" w:w="219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219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19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Expected (Σ p)</w:t>
            </w:r>
          </w:p>
        </w:tc>
        <w:tc>
          <w:tcPr>
            <w:tcW w:type="dxa" w:w="248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Expected/observed</w:t>
            </w:r>
          </w:p>
        </w:tc>
      </w:tr>
      <w:tr>
        <w:trPr>
          <w:cantSplit w:val="true"/>
        </w:trPr>
        <w:tc>
          <w:tcPr>
            <w:tcW w:type="dxa" w:w="248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Soft voting (temperature scaling)</w:t>
            </w:r>
          </w:p>
        </w:tc>
      </w:tr>
      <w:tr>
        <w:trPr>
          <w:cantSplit w:val="true"/>
        </w:trPr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Dropout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278.4</w:t>
            </w:r>
          </w:p>
        </w:tc>
        <w:tc>
          <w:tcPr>
            <w:tcW w:type="dxa" w:w="24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0.980</w:t>
            </w:r>
          </w:p>
        </w:tc>
      </w:tr>
      <w:tr>
        <w:trPr>
          <w:cantSplit w:val="true"/>
        </w:trPr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Enrolled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173.9</w:t>
            </w:r>
          </w:p>
        </w:tc>
        <w:tc>
          <w:tcPr>
            <w:tcW w:type="dxa" w:w="24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1.094</w:t>
            </w:r>
          </w:p>
        </w:tc>
      </w:tr>
      <w:tr>
        <w:trPr>
          <w:cantSplit w:val="true"/>
        </w:trPr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Graduate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432.7</w:t>
            </w:r>
          </w:p>
        </w:tc>
        <w:tc>
          <w:tcPr>
            <w:tcW w:type="dxa" w:w="24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0.979</w:t>
            </w:r>
          </w:p>
        </w:tc>
      </w:tr>
      <w:tr>
        <w:trPr>
          <w:cantSplit w:val="true"/>
        </w:trPr>
        <w:tc>
          <w:tcPr>
            <w:tcW w:type="dxa" w:w="248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Soft voting (uncalibrated)</w:t>
            </w:r>
          </w:p>
        </w:tc>
      </w:tr>
      <w:tr>
        <w:trPr>
          <w:cantSplit w:val="true"/>
        </w:trPr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Dropout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282.4</w:t>
            </w:r>
          </w:p>
        </w:tc>
        <w:tc>
          <w:tcPr>
            <w:tcW w:type="dxa" w:w="24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0.994</w:t>
            </w:r>
          </w:p>
        </w:tc>
      </w:tr>
      <w:tr>
        <w:trPr>
          <w:cantSplit w:val="true"/>
        </w:trPr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Enrolled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187.3</w:t>
            </w:r>
          </w:p>
        </w:tc>
        <w:tc>
          <w:tcPr>
            <w:tcW w:type="dxa" w:w="24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1.178</w:t>
            </w:r>
          </w:p>
        </w:tc>
      </w:tr>
      <w:tr>
        <w:trPr>
          <w:cantSplit w:val="true"/>
        </w:trPr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Graduate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415.3</w:t>
            </w:r>
          </w:p>
        </w:tc>
        <w:tc>
          <w:tcPr>
            <w:tcW w:type="dxa" w:w="24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0.940</w:t>
            </w:r>
          </w:p>
        </w:tc>
      </w:tr>
      <w:tr>
        <w:trPr>
          <w:cantSplit w:val="true"/>
        </w:trPr>
        <w:tc>
          <w:tcPr>
            <w:tcW w:type="dxa" w:w="248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LR reference</w:t>
            </w:r>
          </w:p>
        </w:tc>
      </w:tr>
      <w:tr>
        <w:trPr>
          <w:cantSplit w:val="true"/>
        </w:trPr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Dropout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281.0</w:t>
            </w:r>
          </w:p>
        </w:tc>
        <w:tc>
          <w:tcPr>
            <w:tcW w:type="dxa" w:w="24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0.989</w:t>
            </w:r>
          </w:p>
        </w:tc>
      </w:tr>
      <w:tr>
        <w:trPr>
          <w:cantSplit w:val="true"/>
        </w:trPr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Enrolled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19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225.5</w:t>
            </w:r>
          </w:p>
        </w:tc>
        <w:tc>
          <w:tcPr>
            <w:tcW w:type="dxa" w:w="24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1.419</w:t>
            </w:r>
          </w:p>
        </w:tc>
      </w:tr>
      <w:tr>
        <w:trPr>
          <w:cantSplit w:val="true"/>
        </w:trPr>
        <w:tc>
          <w:tcPr>
            <w:tcW w:type="dxa" w:w="219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Graduate</w:t>
            </w:r>
          </w:p>
        </w:tc>
        <w:tc>
          <w:tcPr>
            <w:tcW w:type="dxa" w:w="219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219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378.4</w:t>
            </w:r>
          </w:p>
        </w:tc>
        <w:tc>
          <w:tcPr>
            <w:tcW w:type="dxa" w:w="248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0.856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Expected counts are sums of predicted probabilities; ratios close to 1 indicate calibration-in-the-large, which determines whether probabilities can be used to plan support capacity.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S10 </w:t>
      </w:r>
      <w:r>
        <w:rPr>
          <w:sz w:val="18"/>
        </w:rPr>
        <w:t>Paired differences between each sensitivity setting and the primary setting (Soft voting, development set)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28"/>
        <w:gridCol w:w="1577"/>
        <w:gridCol w:w="2249"/>
        <w:gridCol w:w="705"/>
        <w:gridCol w:w="612"/>
      </w:tblGrid>
      <w:tr>
        <w:trPr>
          <w:tblHeader w:val="true"/>
        </w:trPr>
        <w:tc>
          <w:tcPr>
            <w:tcW w:type="dxa" w:w="392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Contrast</w:t>
            </w:r>
          </w:p>
        </w:tc>
        <w:tc>
          <w:tcPr>
            <w:tcW w:type="dxa" w:w="1577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24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Mean difference (95% CI)</w:t>
            </w:r>
          </w:p>
        </w:tc>
        <w:tc>
          <w:tcPr>
            <w:tcW w:type="dxa" w:w="70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61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Holm p</w:t>
            </w:r>
          </w:p>
        </w:tc>
      </w:tr>
      <w:tr>
        <w:trPr>
          <w:cantSplit w:val="true"/>
        </w:trPr>
        <w:tc>
          <w:tcPr>
            <w:tcW w:type="dxa" w:w="612"/>
            <w:gridSpan w:val="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Prediction horizon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 only vs end of first year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−0.147 (−0.185 to −0.109)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0.002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 only vs end of first year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Recall (Enrolled)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−0.164 (−0.351 to +0.023)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0.072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0.144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 only vs end of first year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Class-wise ECE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+0.020 (−0.003 to +0.043)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0.074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0.297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 + 1st semester vs end of first year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−0.029 (−0.058 to +0.000)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0.048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0.144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 + 1st semester vs end of first year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Recall (Enrolled)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−0.044 (−0.129 to +0.041)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0.224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0.224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 + 1st semester vs end of first year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Class-wise ECE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+0.008 (−0.001 to +0.016)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0.074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0.297</w:t>
            </w:r>
          </w:p>
        </w:tc>
      </w:tr>
      <w:tr>
        <w:trPr>
          <w:cantSplit w:val="true"/>
        </w:trPr>
        <w:tc>
          <w:tcPr>
            <w:tcW w:type="dxa" w:w="612"/>
            <w:gridSpan w:val="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Imbalance handling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Random oversampling vs SMOTENC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−0.003 (−0.022 to +0.017)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0.713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0.713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Random oversampling vs SMOTENC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Recall (Enrolled)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+0.066 (+0.012 to +0.121)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0.028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0.084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Random oversampling vs SMOTENC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Class-wise ECE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+0.012 (−0.005 to +0.029)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0.121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0.297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 resampling vs SMOTENC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−0.014 (−0.043 to +0.015)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0.253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0.505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 resampling vs SMOTENC</w:t>
            </w:r>
          </w:p>
        </w:tc>
        <w:tc>
          <w:tcPr>
            <w:tcW w:type="dxa" w:w="15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Recall (Enrolled)</w:t>
            </w:r>
          </w:p>
        </w:tc>
        <w:tc>
          <w:tcPr>
            <w:tcW w:type="dxa" w:w="22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−0.113 (−0.171 to −0.056)</w:t>
            </w:r>
          </w:p>
        </w:tc>
        <w:tc>
          <w:tcPr>
            <w:tcW w:type="dxa" w:w="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0.005</w:t>
            </w:r>
          </w:p>
        </w:tc>
        <w:tc>
          <w:tcPr>
            <w:tcW w:type="dxa" w:w="6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0.021</w:t>
            </w:r>
          </w:p>
        </w:tc>
      </w:tr>
      <w:tr>
        <w:trPr>
          <w:cantSplit w:val="true"/>
        </w:trPr>
        <w:tc>
          <w:tcPr>
            <w:tcW w:type="dxa" w:w="392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 resampling vs SMOTENC</w:t>
            </w:r>
          </w:p>
        </w:tc>
        <w:tc>
          <w:tcPr>
            <w:tcW w:type="dxa" w:w="1577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Class-wise ECE</w:t>
            </w:r>
          </w:p>
        </w:tc>
        <w:tc>
          <w:tcPr>
            <w:tcW w:type="dxa" w:w="224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−0.005 (−0.019 to +0.008)</w:t>
            </w:r>
          </w:p>
        </w:tc>
        <w:tc>
          <w:tcPr>
            <w:tcW w:type="dxa" w:w="70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0.309</w:t>
            </w:r>
          </w:p>
        </w:tc>
        <w:tc>
          <w:tcPr>
            <w:tcW w:type="dxa" w:w="61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0.309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Differences (setting − primary) across the same 5 folds; Nadeau–Bengio corrected t test (n_test/n_train = 0.25) with Holm adjustment within each metric over the 4 contrasts. For class-wise ECE, negative differences indicate better calibration. Cross-validation folds are not independent, so the tests are approximate.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