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Tables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1 </w:t>
      </w:r>
      <w:r>
        <w:rPr>
          <w:sz w:val="18"/>
        </w:rPr>
        <w:t>Characteristics of the students by academic outcome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2"/>
        <w:gridCol w:w="1978"/>
        <w:gridCol w:w="1978"/>
        <w:gridCol w:w="1978"/>
        <w:gridCol w:w="1978"/>
        <w:gridCol w:w="798"/>
        <w:gridCol w:w="1027"/>
      </w:tblGrid>
      <w:tr>
        <w:trPr>
          <w:tblHeader w:val="true"/>
        </w:trPr>
        <w:tc>
          <w:tcPr>
            <w:tcW w:type="dxa" w:w="483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197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Overall</w:t>
            </w:r>
          </w:p>
        </w:tc>
        <w:tc>
          <w:tcPr>
            <w:tcW w:type="dxa" w:w="197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Dropout</w:t>
            </w:r>
          </w:p>
        </w:tc>
        <w:tc>
          <w:tcPr>
            <w:tcW w:type="dxa" w:w="197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Enrolled</w:t>
            </w:r>
          </w:p>
        </w:tc>
        <w:tc>
          <w:tcPr>
            <w:tcW w:type="dxa" w:w="197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Graduate</w:t>
            </w:r>
          </w:p>
        </w:tc>
        <w:tc>
          <w:tcPr>
            <w:tcW w:type="dxa" w:w="79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 value</w:t>
            </w:r>
          </w:p>
        </w:tc>
        <w:tc>
          <w:tcPr>
            <w:tcW w:type="dxa" w:w="1027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Effect size</w:t>
            </w:r>
          </w:p>
        </w:tc>
      </w:tr>
      <w:tr>
        <w:trPr>
          <w:cantSplit w:val="true"/>
        </w:trPr>
        <w:tc>
          <w:tcPr>
            <w:tcW w:type="dxa" w:w="1027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Sample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Students,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4,424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1,421 (32.1)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794 (17.9)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2,209 (49.9)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027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Quantitative characteristics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Age at enrollment,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20.0 (19.0–25.0)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23.0 (19.0–30.0)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20.0 (19.0–23.0)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19.0 (18.0–21.0)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0.08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Admission grade,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126.1 (117.9–134.8)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123.6 (115.0–133.0)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124.1 (117.0–133.3)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127.4 (119.7–136.4)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0.02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Previous qualification (grade),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133.1 (125.0–140.0)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133.1 (122.0–137.0)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130.0 (123.0–139.0)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133.1 (126.0–141.0)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0.01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Application order,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 (1.0–2.0)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 (1.0–2.0)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 (1.0–2.0)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 (1.0–2.0)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0.01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(enrolled),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 (5.0–7.0)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 (5.0–6.0)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 (5.0–6.0)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 (6.0–7.0)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0.06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(approved),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5.0 (3.0–6.0)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 (0.0–4.0)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5.0 (3.0–6.0)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 (5.0–7.0)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0.35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(grade),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12.3 (11.0–13.4)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10.9 (0.0–12.2)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12.0 (11.0–12.9)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13.0 (12.1–13.9)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0.25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(approved),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5.0 (2.0–6.0)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 (0.0–4.0)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4.0 (3.0–5.0)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 (5.0–7.0)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0.43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(grade),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12.2 (10.8–13.3)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 (0.0–11.8)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12.0 (11.0–12.8)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13.0 (12.2–14.0)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0.31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Unemployment rate,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11.1 (9.4–13.9)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11.1 (9.4–13.9)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11.1 (9.4–12.7)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11.1 (9.4–13.9)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0.002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0.00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Inflation rate,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1.4 (0.3–2.6)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1.4 (0.3–2.6)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1.4 (0.3–2.6)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 (0.3–2.6)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0.296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0.00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GDP, median (IQR)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 (−1.7–1.8)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 (−1.7–1.7)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 (−1.7–1.8)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 (−1.7–1.8)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ε² = 0.00</w:t>
            </w:r>
          </w:p>
        </w:tc>
      </w:tr>
      <w:tr>
        <w:trPr>
          <w:cantSplit w:val="true"/>
        </w:trPr>
        <w:tc>
          <w:tcPr>
            <w:tcW w:type="dxa" w:w="1027"/>
            <w:gridSpan w:val="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Binary characteristics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Male,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1,556 (35.2)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701 (49.3)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307 (38.7)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548 (24.8)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0.23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Scholarship holder = yes,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1,099 (24.8)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134 (9.4)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130 (16.4)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835 (37.8)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0.30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Debtor = yes,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503 (11.4)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312 (22.0)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90 (11.3)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101 (4.6)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0.24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Tuition fees up to date = yes,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3,896 (88.1)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964 (67.8)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752 (94.7)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2,180 (98.7)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0.43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Displaced = yes,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2,426 (54.8)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669 (47.1)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433 (54.5)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1,324 (59.9)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0.11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International = yes,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110 (2.5)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32 (2.3)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24 (3.0)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54 (2.4)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0.527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0.02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Daytime/evening attendance = yes, n (%)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3,941 (89.1)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1,214 (85.4)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719 (90.6)</w:t>
            </w:r>
          </w:p>
        </w:tc>
        <w:tc>
          <w:tcPr>
            <w:tcW w:type="dxa" w:w="197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2,008 (90.9)</w:t>
            </w:r>
          </w:p>
        </w:tc>
        <w:tc>
          <w:tcPr>
            <w:tcW w:type="dxa" w:w="79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2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0.08</w:t>
            </w:r>
          </w:p>
        </w:tc>
      </w:tr>
      <w:tr>
        <w:trPr>
          <w:cantSplit w:val="true"/>
        </w:trPr>
        <w:tc>
          <w:tcPr>
            <w:tcW w:type="dxa" w:w="483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Educational special needs = yes, n (%)</w:t>
            </w:r>
          </w:p>
        </w:tc>
        <w:tc>
          <w:tcPr>
            <w:tcW w:type="dxa" w:w="197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51 (1.2)</w:t>
            </w:r>
          </w:p>
        </w:tc>
        <w:tc>
          <w:tcPr>
            <w:tcW w:type="dxa" w:w="197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17 (1.2)</w:t>
            </w:r>
          </w:p>
        </w:tc>
        <w:tc>
          <w:tcPr>
            <w:tcW w:type="dxa" w:w="197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 (1.4)</w:t>
            </w:r>
          </w:p>
        </w:tc>
        <w:tc>
          <w:tcPr>
            <w:tcW w:type="dxa" w:w="197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23 (1.0)</w:t>
            </w:r>
          </w:p>
        </w:tc>
        <w:tc>
          <w:tcPr>
            <w:tcW w:type="dxa" w:w="79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1027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V = 0.01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Quantitative variables: median (interquartile range, IQR), Kruskal–Wallis test, ε² effect size. Binary variables: n (column %), Pearson χ² test without continuity correction, Cramér's V. Descriptive statistics use the full sample (development and holdout). Exact duplicate records removed: 0.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2 </w:t>
      </w:r>
      <w:r>
        <w:rPr>
          <w:sz w:val="18"/>
        </w:rPr>
        <w:t>Discrimination of the candidates in repeated nested cross-validation (5-fold × 2 repeats; development set, n = 3,539)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323"/>
        <w:gridCol w:w="1176"/>
        <w:gridCol w:w="1176"/>
        <w:gridCol w:w="1144"/>
        <w:gridCol w:w="1165"/>
        <w:gridCol w:w="1144"/>
        <w:gridCol w:w="1165"/>
        <w:gridCol w:w="1176"/>
        <w:gridCol w:w="1176"/>
        <w:gridCol w:w="1176"/>
        <w:gridCol w:w="582"/>
        <w:gridCol w:w="538"/>
      </w:tblGrid>
      <w:tr>
        <w:trPr>
          <w:tblHeader w:val="true"/>
        </w:trPr>
        <w:tc>
          <w:tcPr>
            <w:tcW w:type="dxa" w:w="163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32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Family</w:t>
            </w:r>
          </w:p>
        </w:tc>
        <w:tc>
          <w:tcPr>
            <w:tcW w:type="dxa" w:w="117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117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114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MCC</w:t>
            </w:r>
          </w:p>
        </w:tc>
        <w:tc>
          <w:tcPr>
            <w:tcW w:type="dxa" w:w="11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Cohen's κ</w:t>
            </w:r>
          </w:p>
        </w:tc>
        <w:tc>
          <w:tcPr>
            <w:tcW w:type="dxa" w:w="114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 AUC</w:t>
            </w:r>
          </w:p>
        </w:tc>
        <w:tc>
          <w:tcPr>
            <w:tcW w:type="dxa" w:w="11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F1 Dropout</w:t>
            </w:r>
          </w:p>
        </w:tc>
        <w:tc>
          <w:tcPr>
            <w:tcW w:type="dxa" w:w="117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F1 Enrolled</w:t>
            </w:r>
          </w:p>
        </w:tc>
        <w:tc>
          <w:tcPr>
            <w:tcW w:type="dxa" w:w="117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F1 Graduate</w:t>
            </w:r>
          </w:p>
        </w:tc>
        <w:tc>
          <w:tcPr>
            <w:tcW w:type="dxa" w:w="117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Weighted F1</w:t>
            </w:r>
          </w:p>
        </w:tc>
        <w:tc>
          <w:tcPr>
            <w:tcW w:type="dxa" w:w="58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rank</w:t>
            </w:r>
          </w:p>
        </w:tc>
        <w:tc>
          <w:tcPr>
            <w:tcW w:type="dxa" w:w="53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Time (s)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voting*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Meta-ensemble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0.725 ± 0.016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0.720 ± 0.016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0.640 ± 0.017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0.638 ± 0.018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0.896 ± 0.008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0.785 ± 0.016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0.525 ± 0.040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0.864 ± 0.009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0.778 ± 0.011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2.00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666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 ± 0.020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 ± 0.021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0.630 ± 0.021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0.628 ± 0.021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0.893 ± 0.008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0.780 ± 0.014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0.506 ± 0.054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0.860 ± 0.010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0.771 ± 0.014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4.20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155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 ± 0.017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0.709 ± 0.017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0.633 ± 0.018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0.632 ± 0.018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0.893 ± 0.007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0.783 ± 0.014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0.498 ± 0.043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0.864 ± 0.010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0.772 ± 0.012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Gradient boosting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0.713 ± 0.014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 ± 0.015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0.625 ± 0.016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0.624 ± 0.016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0.890 ± 0.007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0.781 ± 0.017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0.500 ± 0.037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0.856 ± 0.011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0.768 ± 0.010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5.30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383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Stacking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Meta-ensemble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0.712 ± 0.014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0.705 ± 0.014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0.635 ± 0.014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0.632 ± 0.015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0.896 ± 0.008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0.787 ± 0.017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0.483 ± 0.034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0.865 ± 0.007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0.772 ± 0.010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4.80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864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 ± 0.019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 ± 0.019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0.612 ± 0.025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0.610 ± 0.026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0.882 ± 0.011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0.774 ± 0.022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0.512 ± 0.040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0.846 ± 0.011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0.763 ± 0.015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5.20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205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0.710 ± 0.017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 ± 0.019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0.617 ± 0.019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0.615 ± 0.020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0.886 ± 0.008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0.774 ± 0.020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0.506 ± 0.042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0.851 ± 0.009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0.764 ± 0.012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210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32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 ± 0.019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0.705 ± 0.020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0.619 ± 0.021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0.618 ± 0.021</w:t>
            </w:r>
          </w:p>
        </w:tc>
        <w:tc>
          <w:tcPr>
            <w:tcW w:type="dxa" w:w="11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0.888 ± 0.008</w:t>
            </w:r>
          </w:p>
        </w:tc>
        <w:tc>
          <w:tcPr>
            <w:tcW w:type="dxa" w:w="11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0.776 ± 0.013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0.490 ± 0.047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0.857 ± 0.011</w:t>
            </w:r>
          </w:p>
        </w:tc>
        <w:tc>
          <w:tcPr>
            <w:tcW w:type="dxa" w:w="117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0.765 ± 0.013</w:t>
            </w:r>
          </w:p>
        </w:tc>
        <w:tc>
          <w:tcPr>
            <w:tcW w:type="dxa" w:w="58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5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1528</w:t>
            </w:r>
          </w:p>
        </w:tc>
      </w:tr>
      <w:tr>
        <w:trPr>
          <w:cantSplit w:val="true"/>
        </w:trPr>
        <w:tc>
          <w:tcPr>
            <w:tcW w:type="dxa" w:w="163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32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Reference</w:t>
            </w:r>
          </w:p>
        </w:tc>
        <w:tc>
          <w:tcPr>
            <w:tcW w:type="dxa" w:w="117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0.700 ± 0.017</w:t>
            </w:r>
          </w:p>
        </w:tc>
        <w:tc>
          <w:tcPr>
            <w:tcW w:type="dxa" w:w="117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0.703 ± 0.020</w:t>
            </w:r>
          </w:p>
        </w:tc>
        <w:tc>
          <w:tcPr>
            <w:tcW w:type="dxa" w:w="114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0.598 ± 0.020</w:t>
            </w:r>
          </w:p>
        </w:tc>
        <w:tc>
          <w:tcPr>
            <w:tcW w:type="dxa" w:w="11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0.596 ± 0.020</w:t>
            </w:r>
          </w:p>
        </w:tc>
        <w:tc>
          <w:tcPr>
            <w:tcW w:type="dxa" w:w="114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0.878 ± 0.009</w:t>
            </w:r>
          </w:p>
        </w:tc>
        <w:tc>
          <w:tcPr>
            <w:tcW w:type="dxa" w:w="11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0.776 ± 0.021</w:t>
            </w:r>
          </w:p>
        </w:tc>
        <w:tc>
          <w:tcPr>
            <w:tcW w:type="dxa" w:w="117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0.487 ± 0.043</w:t>
            </w:r>
          </w:p>
        </w:tc>
        <w:tc>
          <w:tcPr>
            <w:tcW w:type="dxa" w:w="117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0.836 ± 0.010</w:t>
            </w:r>
          </w:p>
        </w:tc>
        <w:tc>
          <w:tcPr>
            <w:tcW w:type="dxa" w:w="117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0.754 ± 0.012</w:t>
            </w:r>
          </w:p>
        </w:tc>
        <w:tc>
          <w:tcPr>
            <w:tcW w:type="dxa" w:w="58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7.60</w:t>
            </w:r>
          </w:p>
        </w:tc>
        <w:tc>
          <w:tcPr>
            <w:tcW w:type="dxa" w:w="53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Mean ± SD over 10 outer validation folds; bold, best value per column. Each candidate was tuned in the inner loop (3-fold grouped CV, 15 random configurations, macro-F1), with SMOTENC applied only to training data, and calibrated by temperature scaling on inner out-of-fold predictions. Classes were predicted by the highest probability. Mean rank: average Friedman rank on macro-F1 (1 = best); Friedman χ²(8) = 25.36, p = 0.001; Iman–Davenport F(8, 72) = 4.18, p = &lt;0.001; Nemenyi critical difference = 3.80. * Selected by the prespecified tolerance hierarchy (macro-F1 ± 0.005, MCC ± 0.01, macro AUC ± 0.005, Brier ± 0.005, then lowest time); the logistic regression reference was not eligible. Weighted F1 is shown only for comparability with previous studies. Time: mean single-core tuning and calibration time per fold (meta-ensembles include the tuning of their base learners). AUC, area under the ROC curve (one-vs-rest); MCC, Matthews correlation coefficient; SD, standard deviation.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3 </w:t>
      </w:r>
      <w:r>
        <w:rPr>
          <w:sz w:val="18"/>
        </w:rPr>
        <w:t>Paired comparisons in repeated nested cross-validation: (A) each candidate versus the calibrated multinomial logistic regression (LR) and (B) each meta-ensemble versus its best base learner and the best individual ensemble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34"/>
        <w:gridCol w:w="949"/>
        <w:gridCol w:w="2400"/>
        <w:gridCol w:w="1048"/>
        <w:gridCol w:w="752"/>
        <w:gridCol w:w="752"/>
        <w:gridCol w:w="1048"/>
        <w:gridCol w:w="850"/>
        <w:gridCol w:w="2938"/>
      </w:tblGrid>
      <w:tr>
        <w:trPr>
          <w:tblHeader w:val="true"/>
        </w:trPr>
        <w:tc>
          <w:tcPr>
            <w:tcW w:type="dxa" w:w="383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Contrast</w:t>
            </w:r>
          </w:p>
        </w:tc>
        <w:tc>
          <w:tcPr>
            <w:tcW w:type="dxa" w:w="94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0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difference (95% CI)</w:t>
            </w:r>
          </w:p>
        </w:tc>
        <w:tc>
          <w:tcPr>
            <w:tcW w:type="dxa" w:w="104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Corrected t</w:t>
            </w:r>
          </w:p>
        </w:tc>
        <w:tc>
          <w:tcPr>
            <w:tcW w:type="dxa" w:w="75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5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Holm p</w:t>
            </w:r>
          </w:p>
        </w:tc>
        <w:tc>
          <w:tcPr>
            <w:tcW w:type="dxa" w:w="104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P(better)</w:t>
            </w:r>
          </w:p>
        </w:tc>
        <w:tc>
          <w:tcPr>
            <w:tcW w:type="dxa" w:w="85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P(ROPE)</w:t>
            </w:r>
          </w:p>
        </w:tc>
        <w:tc>
          <w:tcPr>
            <w:tcW w:type="dxa" w:w="293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Verdict</w:t>
            </w:r>
          </w:p>
        </w:tc>
      </w:tr>
      <w:tr>
        <w:trPr>
          <w:cantSplit w:val="true"/>
        </w:trPr>
        <w:tc>
          <w:tcPr>
            <w:tcW w:type="dxa" w:w="2938"/>
            <w:gridSpan w:val="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A. Each candidate versus the calibrated multinomial LR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+0.025 (+0.013 to +0.037)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4.73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0.001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0.009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superior (practically relevant)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XGBoost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+0.016 (−0.006 to +0.037)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1.67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0.130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LightGBM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+0.015 (−0.004 to +0.034)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1.82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0.103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Gradient boosting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+0.013 (−0.003 to +0.028)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0.094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Stacking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+0.012 (−0.001 to +0.025)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2.09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0.066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0.465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Extra trees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+0.011 (−0.005 to +0.027)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1.55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0.155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forest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+0.011 (−0.010 to +0.032)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0.279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CatBoost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+0.008 (−0.020 to +0.037)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0.529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+0.042 (+0.029 to +0.055)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7.24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superior (practically relevant)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Stacking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+0.037 (+0.021 to +0.053)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5.27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&lt;0.001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0.004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superior (practically relevant)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LightGBM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+0.036 (+0.012 to +0.059)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3.38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0.008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0.049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superior (practically relevant)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XGBoost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+0.032 (+0.007 to +0.057)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2.87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0.019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0.093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Gradient boosting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+0.027 (+0.005 to +0.050)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2.78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0.022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0.093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CatBoost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+0.021 (−0.016 to +0.058)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0.226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0.370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forest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+0.019 (−0.004 to +0.042)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0.093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0.279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Extra trees − LR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+0.015 (−0.009 to +0.038)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1.43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0.185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0.370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2938"/>
            <w:gridSpan w:val="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B. Meta-ensemble versus its best base learner and the best individual ensemble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 − XGBoost (best base learner)</w:t>
            </w:r>
          </w:p>
        </w:tc>
        <w:tc>
          <w:tcPr>
            <w:tcW w:type="dxa" w:w="9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+0.009 (−0.006 to +0.025)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0.211</w:t>
            </w:r>
          </w:p>
        </w:tc>
        <w:tc>
          <w:tcPr>
            <w:tcW w:type="dxa" w:w="75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0.422</w:t>
            </w:r>
          </w:p>
        </w:tc>
        <w:tc>
          <w:tcPr>
            <w:tcW w:type="dxa" w:w="104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8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293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  <w:tr>
        <w:trPr>
          <w:cantSplit w:val="true"/>
        </w:trPr>
        <w:tc>
          <w:tcPr>
            <w:tcW w:type="dxa" w:w="383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Stacking − XGBoost (best base learner)</w:t>
            </w:r>
          </w:p>
        </w:tc>
        <w:tc>
          <w:tcPr>
            <w:tcW w:type="dxa" w:w="94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240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−0.004 (−0.025 to +0.017)</w:t>
            </w:r>
          </w:p>
        </w:tc>
        <w:tc>
          <w:tcPr>
            <w:tcW w:type="dxa" w:w="104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−0.39</w:t>
            </w:r>
          </w:p>
        </w:tc>
        <w:tc>
          <w:tcPr>
            <w:tcW w:type="dxa" w:w="75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75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104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0.09</w:t>
            </w:r>
          </w:p>
        </w:tc>
        <w:tc>
          <w:tcPr>
            <w:tcW w:type="dxa" w:w="85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293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inconclusive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Differences across 10 outer folds. Nadeau–Bengio corrected resampled t test (variance inflated by n_test/n_train = 0.25); Holm adjustment within each panel and metric. Practical margin (region of practical equivalence, ROPE): ± 0.01 for macro-F1 and ± 0.01 for MCC. 'Practically relevant' requires the whole 95% CI beyond the margin; 'practically equivalent' requires it within ± margin. P(better) and P(ROPE): posterior probabilities from the Bayesian correlated t test (Benavoli et al., 2017) that the difference exceeds the margin or lies within it. Base learners inside the meta-ensembles are the very same fitted models evaluated individually, so panel B isolates the effect of combination. Repeated CV folds are not independent, so the tests are approximate; non-significance does not establish equivalence.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4 </w:t>
      </w:r>
      <w:r>
        <w:rPr>
          <w:sz w:val="18"/>
        </w:rPr>
        <w:t>Probabilistic accuracy and class-wise calibration of the candidates in repeated nested cross-validation (temperature scaling)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9"/>
        <w:gridCol w:w="1349"/>
        <w:gridCol w:w="1200"/>
        <w:gridCol w:w="1213"/>
        <w:gridCol w:w="1209"/>
        <w:gridCol w:w="1204"/>
        <w:gridCol w:w="1209"/>
        <w:gridCol w:w="1209"/>
        <w:gridCol w:w="2150"/>
        <w:gridCol w:w="2150"/>
      </w:tblGrid>
      <w:tr>
        <w:trPr>
          <w:tblHeader w:val="true"/>
        </w:trPr>
        <w:tc>
          <w:tcPr>
            <w:tcW w:type="dxa" w:w="167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34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Brier score</w:t>
            </w:r>
          </w:p>
        </w:tc>
        <w:tc>
          <w:tcPr>
            <w:tcW w:type="dxa" w:w="120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Log-loss</w:t>
            </w:r>
          </w:p>
        </w:tc>
        <w:tc>
          <w:tcPr>
            <w:tcW w:type="dxa" w:w="121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(top-label)</w:t>
            </w:r>
          </w:p>
        </w:tc>
        <w:tc>
          <w:tcPr>
            <w:tcW w:type="dxa" w:w="120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Class-wise ECE</w:t>
            </w:r>
          </w:p>
        </w:tc>
        <w:tc>
          <w:tcPr>
            <w:tcW w:type="dxa" w:w="120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(Dropout)</w:t>
            </w:r>
          </w:p>
        </w:tc>
        <w:tc>
          <w:tcPr>
            <w:tcW w:type="dxa" w:w="120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(Enrolled)</w:t>
            </w:r>
          </w:p>
        </w:tc>
        <w:tc>
          <w:tcPr>
            <w:tcW w:type="dxa" w:w="120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(Graduate)</w:t>
            </w:r>
          </w:p>
        </w:tc>
        <w:tc>
          <w:tcPr>
            <w:tcW w:type="dxa" w:w="215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Δ Class-wise ECE (95% CI)</w:t>
            </w:r>
          </w:p>
        </w:tc>
        <w:tc>
          <w:tcPr>
            <w:tcW w:type="dxa" w:w="215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Δ ECE (Enrolled) (95% CI)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voting*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0.3108 ± 0.0095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0.553 ± 0.015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0.034 ± 0.007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 ± 0.006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0.034 ± 0.005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 ± 0.010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 ± 0.007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−0.015 (−0.023 to −0.007)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−0.015 (−0.026 to −0.004)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0.3138 ± 0.0100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0.557 ± 0.015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 ± 0.007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 ± 0.003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 ± 0.006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 ± 0.007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 ± 0.005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−0.002 (−0.006 to +0.002)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−0.002 (−0.010 to +0.006)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0.3141 ± 0.0076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0.558 ± 0.011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 ± 0.009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 ± 0.006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 ± 0.008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 ± 0.006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0.048 ± 0.010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+0.004 (−0.003 to +0.011)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+0.000 (−0.011 to +0.011)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Gradient boosting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0.3189 ± 0.0093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0.566 ± 0.015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 ± 0.008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 ± 0.005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 ± 0.005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 ± 0.008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0.050 ± 0.009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+0.000 (−0.005 to +0.005)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−0.002 (−0.009 to +0.006)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Stacking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0.3081 ± 0.0091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0.554 ± 0.014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 ± 0.010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0.038 ± 0.004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0.038 ± 0.004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0.038 ± 0.006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0.037 ± 0.005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+0.001 (−0.001 to +0.003)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+0.000 (−0.004 to +0.003)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0.3355 ± 0.0152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0.599 ± 0.028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0.043 ± 0.012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0.055 ± 0.010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0.041 ± 0.010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0.064 ± 0.012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0.062 ± 0.014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−0.005 (−0.012 to +0.002)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−0.004 (−0.012 to +0.004)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0.3299 ± 0.0088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0.587 ± 0.014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0.037 ± 0.006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 ± 0.005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 ± 0.008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0.053 ± 0.010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 ± 0.006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−0.035 (−0.053 to −0.017)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−0.026 (−0.042 to −0.010)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34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0.3245 ± 0.0107</w:t>
            </w:r>
          </w:p>
        </w:tc>
        <w:tc>
          <w:tcPr>
            <w:tcW w:type="dxa" w:w="120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0.574 ± 0.015</w:t>
            </w:r>
          </w:p>
        </w:tc>
        <w:tc>
          <w:tcPr>
            <w:tcW w:type="dxa" w:w="121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 ± 0.008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0.044 ± 0.005</w:t>
            </w:r>
          </w:p>
        </w:tc>
        <w:tc>
          <w:tcPr>
            <w:tcW w:type="dxa" w:w="120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 ± 0.007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0.047 ± 0.008</w:t>
            </w:r>
          </w:p>
        </w:tc>
        <w:tc>
          <w:tcPr>
            <w:tcW w:type="dxa" w:w="120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0.046 ± 0.006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−0.001 (−0.006 to +0.004)</w:t>
            </w:r>
          </w:p>
        </w:tc>
        <w:tc>
          <w:tcPr>
            <w:tcW w:type="dxa" w:w="215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−0.005 (−0.010 to +0.000)</w:t>
            </w:r>
          </w:p>
        </w:tc>
      </w:tr>
      <w:tr>
        <w:trPr>
          <w:cantSplit w:val="true"/>
        </w:trPr>
        <w:tc>
          <w:tcPr>
            <w:tcW w:type="dxa" w:w="167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34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0.3472 ± 0.0100</w:t>
            </w:r>
          </w:p>
        </w:tc>
        <w:tc>
          <w:tcPr>
            <w:tcW w:type="dxa" w:w="120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0.608 ± 0.011</w:t>
            </w:r>
          </w:p>
        </w:tc>
        <w:tc>
          <w:tcPr>
            <w:tcW w:type="dxa" w:w="121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 ± 0.008</w:t>
            </w:r>
          </w:p>
        </w:tc>
        <w:tc>
          <w:tcPr>
            <w:tcW w:type="dxa" w:w="120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0.070 ± 0.005</w:t>
            </w:r>
          </w:p>
        </w:tc>
        <w:tc>
          <w:tcPr>
            <w:tcW w:type="dxa" w:w="120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 ± 0.007</w:t>
            </w:r>
          </w:p>
        </w:tc>
        <w:tc>
          <w:tcPr>
            <w:tcW w:type="dxa" w:w="120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0.087 ± 0.009</w:t>
            </w:r>
          </w:p>
        </w:tc>
        <w:tc>
          <w:tcPr>
            <w:tcW w:type="dxa" w:w="120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0.084 ± 0.014</w:t>
            </w:r>
          </w:p>
        </w:tc>
        <w:tc>
          <w:tcPr>
            <w:tcW w:type="dxa" w:w="215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+0.004 (−0.002 to +0.010)</w:t>
            </w:r>
          </w:p>
        </w:tc>
        <w:tc>
          <w:tcPr>
            <w:tcW w:type="dxa" w:w="215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+0.005 (+0.000 to +0.010)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Mean ± SD over 10 outer folds; bold, best value per column. Brier: multiclass Brier score (sum over classes); ECE (top-label): expected calibration error of the predicted class; class-wise ECE: mean of the one-vs-rest ECEs; 15 equal-width bins. Δ: calibrated − uncalibrated with Nadeau–Bengio corrected 95% CIs (negative values indicate improvement). The temperature was fitted on inner out-of-fold predictions only. Lower values are better.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5 </w:t>
      </w:r>
      <w:r>
        <w:rPr>
          <w:sz w:val="18"/>
        </w:rPr>
        <w:t>Performance of all frozen candidates on the locked holdout (n = 885)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07"/>
        <w:gridCol w:w="1941"/>
        <w:gridCol w:w="1277"/>
        <w:gridCol w:w="1446"/>
        <w:gridCol w:w="879"/>
        <w:gridCol w:w="879"/>
        <w:gridCol w:w="1543"/>
        <w:gridCol w:w="1012"/>
        <w:gridCol w:w="1543"/>
        <w:gridCol w:w="1543"/>
      </w:tblGrid>
      <w:tr>
        <w:trPr>
          <w:tblHeader w:val="true"/>
        </w:trPr>
        <w:tc>
          <w:tcPr>
            <w:tcW w:type="dxa" w:w="2507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941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Family</w:t>
            </w:r>
          </w:p>
        </w:tc>
        <w:tc>
          <w:tcPr>
            <w:tcW w:type="dxa" w:w="1277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144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87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MCC</w:t>
            </w:r>
          </w:p>
        </w:tc>
        <w:tc>
          <w:tcPr>
            <w:tcW w:type="dxa" w:w="879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 AUC</w:t>
            </w:r>
          </w:p>
        </w:tc>
        <w:tc>
          <w:tcPr>
            <w:tcW w:type="dxa" w:w="154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(Enrolled)</w:t>
            </w:r>
          </w:p>
        </w:tc>
        <w:tc>
          <w:tcPr>
            <w:tcW w:type="dxa" w:w="101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Brier score</w:t>
            </w:r>
          </w:p>
        </w:tc>
        <w:tc>
          <w:tcPr>
            <w:tcW w:type="dxa" w:w="154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Class-wise ECE</w:t>
            </w:r>
          </w:p>
        </w:tc>
        <w:tc>
          <w:tcPr>
            <w:tcW w:type="dxa" w:w="154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ECE (Enrolled)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voting*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Meta-ensemble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0.743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0.732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0.662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0.503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0.3031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0.026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Stacking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Meta-ensemble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0.733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0.719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0.661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0.896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0.434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0.3019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XGBoost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0.727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0.650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0.900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0.447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0.2993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0.031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0.023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Gradient boosting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0.726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0.720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0.634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0.887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0.497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0.3217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LightGBM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0.725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0.716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0.640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0.892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0.465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0.3120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0.040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CatBoost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0.723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0.716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0.637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0.891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0.472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0.3141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0.030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0.723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0.721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0.625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0.885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0.553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0.3235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0.046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94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Ensemble</w:t>
            </w:r>
          </w:p>
        </w:tc>
        <w:tc>
          <w:tcPr>
            <w:tcW w:type="dxa" w:w="127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144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0.621</w:t>
            </w:r>
          </w:p>
        </w:tc>
        <w:tc>
          <w:tcPr>
            <w:tcW w:type="dxa" w:w="879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0.886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0.484</w:t>
            </w:r>
          </w:p>
        </w:tc>
        <w:tc>
          <w:tcPr>
            <w:tcW w:type="dxa" w:w="101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0.3258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0.040</w:t>
            </w:r>
          </w:p>
        </w:tc>
        <w:tc>
          <w:tcPr>
            <w:tcW w:type="dxa" w:w="154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</w:t>
            </w:r>
          </w:p>
        </w:tc>
      </w:tr>
      <w:tr>
        <w:trPr>
          <w:cantSplit w:val="true"/>
        </w:trPr>
        <w:tc>
          <w:tcPr>
            <w:tcW w:type="dxa" w:w="2507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941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Reference</w:t>
            </w:r>
          </w:p>
        </w:tc>
        <w:tc>
          <w:tcPr>
            <w:tcW w:type="dxa" w:w="1277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4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87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879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0.877</w:t>
            </w:r>
          </w:p>
        </w:tc>
        <w:tc>
          <w:tcPr>
            <w:tcW w:type="dxa" w:w="154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0.541</w:t>
            </w:r>
          </w:p>
        </w:tc>
        <w:tc>
          <w:tcPr>
            <w:tcW w:type="dxa" w:w="101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0.3421</w:t>
            </w:r>
          </w:p>
        </w:tc>
        <w:tc>
          <w:tcPr>
            <w:tcW w:type="dxa" w:w="154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0.068</w:t>
            </w:r>
          </w:p>
        </w:tc>
        <w:tc>
          <w:tcPr>
            <w:tcW w:type="dxa" w:w="154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0.078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All candidates were refitted and calibrated (temperature scaling) on the development set and frozen before the holdout was opened once. Point estimates; bold, best value per column. The selected candidate (*) was chosen in cross-validation, not on the holdout. ECE, expected calibration error (15 equal-width bins); MCC, Matthews correlation coefficient.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6 </w:t>
      </w:r>
      <w:r>
        <w:rPr>
          <w:sz w:val="18"/>
        </w:rPr>
        <w:t>Discrimination and calibration of the frozen Soft voting and the logistic regression (LR) reference on the locked holdout, overall and by class (n = 885; Dropout = 284, Enrolled = 159, Graduate = 442)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02"/>
        <w:gridCol w:w="3332"/>
        <w:gridCol w:w="3332"/>
        <w:gridCol w:w="3705"/>
      </w:tblGrid>
      <w:tr>
        <w:trPr>
          <w:tblHeader w:val="true"/>
        </w:trPr>
        <w:tc>
          <w:tcPr>
            <w:tcW w:type="dxa" w:w="420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333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Soft voting</w:t>
            </w:r>
          </w:p>
        </w:tc>
        <w:tc>
          <w:tcPr>
            <w:tcW w:type="dxa" w:w="333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LR reference</w:t>
            </w:r>
          </w:p>
        </w:tc>
        <w:tc>
          <w:tcPr>
            <w:tcW w:type="dxa" w:w="370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Δ (Soft voting − LR)</w:t>
            </w:r>
          </w:p>
        </w:tc>
      </w:tr>
      <w:tr>
        <w:trPr>
          <w:cantSplit w:val="true"/>
        </w:trPr>
        <w:tc>
          <w:tcPr>
            <w:tcW w:type="dxa" w:w="370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Discrimination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Macro-F1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0.743 (0.711–0.773)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 (0.677–0.738)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+0.035 (+0.007 to +0.061)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Balanced accuracy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0.732 (0.700–0.762)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0.711 (0.678–0.742)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+0.021 (−0.007 to +0.047)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MCC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0.662 (0.620–0.703)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0.603 (0.558–0.646)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+0.060 (+0.025 to +0.094)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Cohen's κ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0.659 (0.617–0.700)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0.602 (0.557–0.645)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+0.057 (+0.022 to +0.091)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Macro AUC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0.897 (0.878–0.914)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0.877 (0.858–0.897)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+0.020 (+0.009 to +0.030)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0.795 (0.769–0.819)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0.753 (0.724–0.780)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+0.043 (+0.021 to +0.064)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Weighted F1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0.790 (0.764–0.815)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0.758 (0.730–0.784)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+0.032 (+0.011 to +0.053)</w:t>
            </w:r>
          </w:p>
        </w:tc>
      </w:tr>
      <w:tr>
        <w:trPr>
          <w:cantSplit w:val="true"/>
        </w:trPr>
        <w:tc>
          <w:tcPr>
            <w:tcW w:type="dxa" w:w="370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Per-class discrimination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(Dropout)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0.785 (0.736–0.831)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0.782 (0.732–0.831)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+0.004 (−0.028 to +0.039)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(Enrolled)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0.503 (0.428–0.579)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0.541 (0.465–0.616)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−0.038 (−0.107 to +0.025)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Recall (Graduate)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0.907 (0.880–0.934)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0.810 (0.776–0.846)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+0.097 (+0.070 to +0.127)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Precision (Dropout)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0.858 (0.821–0.895)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0.838 (0.801–0.877)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+0.020 (−0.008 to +0.048)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Precision (Enrolled)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0.611 (0.540–0.683)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0.457 (0.403–0.516)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+0.153 (+0.091 to +0.215)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Precision (Graduate)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0.812 (0.784–0.840)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0.829 (0.799–0.859)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−0.017 (−0.038 to +0.002)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F1 (Dropout)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0.820 (0.787–0.852)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0.809 (0.774–0.843)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+0.011 (−0.014 to +0.036)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F1 (Enrolled)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0.552 (0.486–0.614)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0.496 (0.436–0.552)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+0.056 (−0.004 to +0.109)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F1 (Graduate)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0.857 (0.836–0.877)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0.819 (0.793–0.844)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+0.038 (+0.018 to +0.058)</w:t>
            </w:r>
          </w:p>
        </w:tc>
      </w:tr>
      <w:tr>
        <w:trPr>
          <w:cantSplit w:val="true"/>
        </w:trPr>
        <w:tc>
          <w:tcPr>
            <w:tcW w:type="dxa" w:w="370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Probabilistic accuracy and calibration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Brier score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0.3031 (0.2762–0.3318)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0.3421 (0.3137–0.3703)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−0.0390 (−0.0532 to −0.0243)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Log-loss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0.538 (0.493–0.586)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0.605 (0.556–0.654)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−0.066 (−0.090 to −0.042)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ECE (top-label)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0.035 (0.026–0.063)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0.027 (0.024–0.061)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+0.008 (−0.023 to +0.029)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Class-wise ECE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0.036 (0.038–0.058)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0.068 (0.063–0.083)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−0.032 (−0.037 to −0.014)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ECE (Dropout)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0.034 (0.031–0.060)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0.046 (0.039–0.071)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−0.012 (−0.027 to +0.009)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ECE (Enrolled)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0.026 (0.027–0.056)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0.078 (0.069–0.098)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−0.051 (−0.060 to −0.023)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ECE (Graduate)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0.048 (0.040–0.074)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0.080 (0.066–0.098)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−0.032 (−0.046 to −0.004)</w:t>
            </w:r>
          </w:p>
        </w:tc>
      </w:tr>
      <w:tr>
        <w:trPr>
          <w:cantSplit w:val="true"/>
        </w:trPr>
        <w:tc>
          <w:tcPr>
            <w:tcW w:type="dxa" w:w="370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Weak calibration, one-vs-rest (ideal: intercept 0, slope 1)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Calibration intercept (Dropout)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+0.073 (−0.093 to +0.239)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+0.038 (−0.129 to +0.200)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+0.034 (−0.028 to +0.098)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Calibration intercept (Enrolled)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−0.152 (−0.249 to −0.046)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−0.582 (−0.669 to −0.496)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+0.431 (+0.376 to +0.487)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Calibration intercept (Graduate)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+0.101 (−0.055 to +0.256)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+0.624 (+0.476 to +0.766)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−0.524 (−0.591 to −0.463)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Calibration slope (Dropout)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0.986 (0.874–1.129)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0.930 (0.820–1.070)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+0.056 (−0.005 to +0.114)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Calibration slope (Enrolled)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1.002 (0.851–1.179)</w:t>
            </w:r>
          </w:p>
        </w:tc>
        <w:tc>
          <w:tcPr>
            <w:tcW w:type="dxa" w:w="333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0.939 (0.792–1.130)</w:t>
            </w:r>
          </w:p>
        </w:tc>
        <w:tc>
          <w:tcPr>
            <w:tcW w:type="dxa" w:w="370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+0.063 (−0.061 to +0.178)</w:t>
            </w:r>
          </w:p>
        </w:tc>
      </w:tr>
      <w:tr>
        <w:trPr>
          <w:cantSplit w:val="true"/>
        </w:trPr>
        <w:tc>
          <w:tcPr>
            <w:tcW w:type="dxa" w:w="420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Calibration slope (Graduate)</w:t>
            </w:r>
          </w:p>
        </w:tc>
        <w:tc>
          <w:tcPr>
            <w:tcW w:type="dxa" w:w="333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0.977 (0.875–1.104)</w:t>
            </w:r>
          </w:p>
        </w:tc>
        <w:tc>
          <w:tcPr>
            <w:tcW w:type="dxa" w:w="333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0.944 (0.831–1.089)</w:t>
            </w:r>
          </w:p>
        </w:tc>
        <w:tc>
          <w:tcPr>
            <w:tcW w:type="dxa" w:w="370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+0.033 (−0.044 to +0.111)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95% CIs from 2,000 bootstrap resamples stratified by class, conditional on the frozen models (percentile method); Δ from paired resamples. Classes assigned by the highest calibrated probability. For Brier score, log-loss and ECE, lower is better. Calibration intercept (calibration-in-the-large) and slope from a one-vs-rest logistic recalibration of logit(p) (Van Calster et al., 2019). ECE, expected calibration error; MCC, Matthews correlation coefficient.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7 </w:t>
      </w:r>
      <w:r>
        <w:rPr>
          <w:sz w:val="18"/>
        </w:rPr>
        <w:t>Capacity-constrained prioritisation of students on the locked holdout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5"/>
        <w:gridCol w:w="2224"/>
        <w:gridCol w:w="2901"/>
        <w:gridCol w:w="3192"/>
        <w:gridCol w:w="1934"/>
        <w:gridCol w:w="1934"/>
      </w:tblGrid>
      <w:tr>
        <w:trPr>
          <w:tblHeader w:val="true"/>
        </w:trPr>
        <w:tc>
          <w:tcPr>
            <w:tcW w:type="dxa" w:w="238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222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2901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Target captured, % (95% CI)</w:t>
            </w:r>
          </w:p>
        </w:tc>
        <w:tc>
          <w:tcPr>
            <w:tcW w:type="dxa" w:w="3192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Precision, % (95% CI)</w:t>
            </w:r>
          </w:p>
        </w:tc>
        <w:tc>
          <w:tcPr>
            <w:tcW w:type="dxa" w:w="193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Dropouts captured</w:t>
            </w:r>
          </w:p>
        </w:tc>
        <w:tc>
          <w:tcPr>
            <w:tcW w:type="dxa" w:w="193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Enrolled captured</w:t>
            </w:r>
          </w:p>
        </w:tc>
      </w:tr>
      <w:tr>
        <w:trPr>
          <w:cantSplit w:val="true"/>
        </w:trPr>
        <w:tc>
          <w:tcPr>
            <w:tcW w:type="dxa" w:w="1934"/>
            <w:gridSpan w:val="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Ranking by P(Dropout)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10% (n = 89)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30.6 (25.3–36.4)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97.8 (92.1–99.7)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87/284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10% (n = 89)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LR reference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31.3 (26.0–37.1)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100.0 (95.9–100.0)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89/284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20% (n = 177)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59.2 (53.2–64.9)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94.9 (90.6–97.6)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168/284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20% (n = 177)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LR reference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58.8 (52.8–64.6)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94.4 (89.9–97.3)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167/284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30% (n = 266)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79.2 (74.0–83.8)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84.6 (79.7–88.7)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225/284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25/159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30% (n = 266)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LR reference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78.5 (73.3–83.2)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83.8 (78.8–88.0)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223/284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28/159</w:t>
            </w:r>
          </w:p>
        </w:tc>
      </w:tr>
      <w:tr>
        <w:trPr>
          <w:cantSplit w:val="true"/>
        </w:trPr>
        <w:tc>
          <w:tcPr>
            <w:tcW w:type="dxa" w:w="1934"/>
            <w:gridSpan w:val="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Ranking by P(Dropout) + P(Enrolled)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10% (n = 89)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20.1 (16.5–24.1)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100.0 (95.9–100.0)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86/284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10% (n = 89)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LR reference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20.1 (16.5–24.1)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100.0 (95.9–100.0)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86/284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20% (n = 177)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40.0 (35.4–44.7)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100.0 (97.9–100.0)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163/284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14/159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20% (n = 177)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LR reference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39.7 (35.1–44.5)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99.4 (96.9–100.0)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163/284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30% (n = 266)</w:t>
            </w:r>
          </w:p>
        </w:tc>
        <w:tc>
          <w:tcPr>
            <w:tcW w:type="dxa" w:w="222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Soft voting</w:t>
            </w:r>
          </w:p>
        </w:tc>
        <w:tc>
          <w:tcPr>
            <w:tcW w:type="dxa" w:w="2901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59.8 (55.1–64.4)</w:t>
            </w:r>
          </w:p>
        </w:tc>
        <w:tc>
          <w:tcPr>
            <w:tcW w:type="dxa" w:w="3192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99.6 (97.9–100.0)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213/284</w:t>
            </w:r>
          </w:p>
        </w:tc>
        <w:tc>
          <w:tcPr>
            <w:tcW w:type="dxa" w:w="193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52/159</w:t>
            </w:r>
          </w:p>
        </w:tc>
      </w:tr>
      <w:tr>
        <w:trPr>
          <w:cantSplit w:val="true"/>
        </w:trPr>
        <w:tc>
          <w:tcPr>
            <w:tcW w:type="dxa" w:w="238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30% (n = 266)</w:t>
            </w:r>
          </w:p>
        </w:tc>
        <w:tc>
          <w:tcPr>
            <w:tcW w:type="dxa" w:w="222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LR reference</w:t>
            </w:r>
          </w:p>
        </w:tc>
        <w:tc>
          <w:tcPr>
            <w:tcW w:type="dxa" w:w="2901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59.4 (54.6–64.0)</w:t>
            </w:r>
          </w:p>
        </w:tc>
        <w:tc>
          <w:tcPr>
            <w:tcW w:type="dxa" w:w="3192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98.9 (96.7–99.8)</w:t>
            </w:r>
          </w:p>
        </w:tc>
        <w:tc>
          <w:tcPr>
            <w:tcW w:type="dxa" w:w="193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218/284</w:t>
            </w:r>
          </w:p>
        </w:tc>
        <w:tc>
          <w:tcPr>
            <w:tcW w:type="dxa" w:w="193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45/159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Students were ranked by the calibrated probability and the top fraction was flagged for support. Target: dropouts for P(Dropout); dropouts and still-enrolled students (not graduating on time) for P(Dropout) + P(Enrolled). Exact Clopper–Pearson 95% CIs. Capacities were prespecified; none was chosen using the holdout.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8 </w:t>
      </w:r>
      <w:r>
        <w:rPr>
          <w:sz w:val="18"/>
        </w:rPr>
        <w:t>Most influential predictors of the calibrated probabilities of the frozen Soft voting (holdout)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84"/>
        <w:gridCol w:w="1640"/>
        <w:gridCol w:w="1456"/>
        <w:gridCol w:w="1507"/>
        <w:gridCol w:w="1507"/>
        <w:gridCol w:w="1503"/>
        <w:gridCol w:w="2328"/>
        <w:gridCol w:w="1444"/>
      </w:tblGrid>
      <w:tr>
        <w:trPr>
          <w:tblHeader w:val="true"/>
        </w:trPr>
        <w:tc>
          <w:tcPr>
            <w:tcW w:type="dxa" w:w="318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Predictor</w:t>
            </w:r>
          </w:p>
        </w:tc>
        <w:tc>
          <w:tcPr>
            <w:tcW w:type="dxa" w:w="1640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|SHAP| × 100 (all classes)</w:t>
            </w:r>
          </w:p>
        </w:tc>
        <w:tc>
          <w:tcPr>
            <w:tcW w:type="dxa" w:w="1456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|SHAP| × 100 (Dropout)</w:t>
            </w:r>
          </w:p>
        </w:tc>
        <w:tc>
          <w:tcPr>
            <w:tcW w:type="dxa" w:w="1507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|SHAP| × 100 (Enrolled)</w:t>
            </w:r>
          </w:p>
        </w:tc>
        <w:tc>
          <w:tcPr>
            <w:tcW w:type="dxa" w:w="1507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Mean |SHAP| × 100 (Graduate)</w:t>
            </w:r>
          </w:p>
        </w:tc>
        <w:tc>
          <w:tcPr>
            <w:tcW w:type="dxa" w:w="150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Top-10 in SHAP bootstrap (%)</w:t>
            </w:r>
          </w:p>
        </w:tc>
        <w:tc>
          <w:tcPr>
            <w:tcW w:type="dxa" w:w="2328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Permutation Δ log-loss (95% range)</w:t>
            </w:r>
          </w:p>
        </w:tc>
        <w:tc>
          <w:tcPr>
            <w:tcW w:type="dxa" w:w="1444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In LIME top-10 (% of cases)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(approved)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11.83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13.44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16.18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0.2421 (0.2185–0.2748)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(approved)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5.95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4.35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8.74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0.0666 (0.0544–0.0786)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Tuition fees up to date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4.02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6.03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3.46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0.0623 (0.0481–0.0727)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(grade)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3.67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4.68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2.34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0.0427 (0.0312–0.0526)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Scholarship holder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3.05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2.03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2.55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4.57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0.0140 (0.0043–0.0203)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Course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2.62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2.75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3.07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0.0392 (0.0319–0.0464)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(evaluations)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1.25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3.54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2.79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0.0189 (0.0127–0.0258)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2nd sem (enrolled)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2.05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1.71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0.0280 (0.0235–0.0348)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(evaluations)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2.66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2.53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0.0038 (−0.0024 to 0.0085)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Age at enrollment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2.32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0.0055 (0.0002–0.0120)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(grade)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1.75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0.0069 (0.0003–0.0128)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Application mode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1.19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1.54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−0.0006 (−0.0050 to 0.0024)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Mother's occupation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1.39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0.0029 (−0.0012 to 0.0058)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Curricular units 1st sem (enrolled)</w:t>
            </w:r>
          </w:p>
        </w:tc>
        <w:tc>
          <w:tcPr>
            <w:tcW w:type="dxa" w:w="1640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1456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1507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150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28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0.0186 (0.0152–0.0223)</w:t>
            </w:r>
          </w:p>
        </w:tc>
        <w:tc>
          <w:tcPr>
            <w:tcW w:type="dxa" w:w="1444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 w:val="true"/>
        </w:trPr>
        <w:tc>
          <w:tcPr>
            <w:tcW w:type="dxa" w:w="318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Unemployment rate</w:t>
            </w:r>
          </w:p>
        </w:tc>
        <w:tc>
          <w:tcPr>
            <w:tcW w:type="dxa" w:w="1640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1456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1507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1507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150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28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0.0074 (0.0051–0.0100)</w:t>
            </w:r>
          </w:p>
        </w:tc>
        <w:tc>
          <w:tcPr>
            <w:tcW w:type="dxa" w:w="1444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Mean |SHAP|: mean absolute SHAP value of the calibrated probability of each class (percentage points), permutation explainer with a development-set background; 'all classes' is the mean over classes. Top-10 in SHAP bootstrap: share of 200 bootstrap resamples of the explained students in which the predictor ranked in the top 10. Permutation Δ log-loss: increase in multiclass log-loss after permuting the predictor (20 repeats; 2.5th–97.5th percentiles). LIME top-10: share of explained students whose local explanation included the predictor. Global concordance — SHAP vs permutation: τ = 0.65, top-10 Jaccard = 0.67; SHAP vs LIME (aggregated): τ = 0.41, top-10 Jaccard = 0.54; Permutation vs LIME (aggregated): τ = 0.34, top-10 Jaccard = 0.54. Attributions describe the fitted model, not causal effects; correlated curricular-unit variables share attribution.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b/>
          <w:sz w:val="18"/>
        </w:rPr>
        <w:t xml:space="preserve">Table 9 </w:t>
      </w:r>
      <w:r>
        <w:rPr>
          <w:sz w:val="18"/>
        </w:rPr>
        <w:t>Prespecified sensitivity analyses for Soft voting (development set)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3"/>
        <w:gridCol w:w="1465"/>
        <w:gridCol w:w="1465"/>
        <w:gridCol w:w="1465"/>
        <w:gridCol w:w="1465"/>
        <w:gridCol w:w="1465"/>
        <w:gridCol w:w="1465"/>
        <w:gridCol w:w="1663"/>
        <w:gridCol w:w="1465"/>
      </w:tblGrid>
      <w:tr>
        <w:trPr>
          <w:tblHeader w:val="true"/>
        </w:trPr>
        <w:tc>
          <w:tcPr>
            <w:tcW w:type="dxa" w:w="265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MCC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Macro AUC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Dropout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Enrolled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Recall Graduate</w:t>
            </w:r>
          </w:p>
        </w:tc>
        <w:tc>
          <w:tcPr>
            <w:tcW w:type="dxa" w:w="1663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Brier score</w:t>
            </w:r>
          </w:p>
        </w:tc>
        <w:tc>
          <w:tcPr>
            <w:tcW w:type="dxa" w:w="1465"/>
            <w:tcBorders>
              <w:top w:val="single" w:sz="6" w:color="000000"/>
              <w:bottom w:val="single" w:sz="4" w:color="000000"/>
              <w:left w:val="nil"/>
              <w:right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Class-wise ECE</w:t>
            </w:r>
          </w:p>
        </w:tc>
      </w:tr>
      <w:tr>
        <w:trPr>
          <w:cantSplit w:val="true"/>
        </w:trPr>
        <w:tc>
          <w:tcPr>
            <w:tcW w:type="dxa" w:w="1465"/>
            <w:gridSpan w:val="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Prediction horizon</w:t>
            </w:r>
          </w:p>
        </w:tc>
      </w:tr>
      <w:tr>
        <w:trPr>
          <w:cantSplit w:val="true"/>
        </w:trPr>
        <w:tc>
          <w:tcPr>
            <w:tcW w:type="dxa" w:w="26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only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0.575 ± 0.016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0.406 ± 0.028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0.784 ± 0.015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0.645 ± 0.061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0.346 ± 0.054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0.732 ± 0.021</w:t>
            </w:r>
          </w:p>
        </w:tc>
        <w:tc>
          <w:tcPr>
            <w:tcW w:type="dxa" w:w="166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0.4730 ± 0.0178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0.062 ± 0.007</w:t>
            </w:r>
          </w:p>
        </w:tc>
      </w:tr>
      <w:tr>
        <w:trPr>
          <w:cantSplit w:val="true"/>
        </w:trPr>
        <w:tc>
          <w:tcPr>
            <w:tcW w:type="dxa" w:w="26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Enrolment + 1st semester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0.692 ± 0.014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0.593 ± 0.020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0.871 ± 0.013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0.731 ± 0.032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0.466 ± 0.034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0.868 ± 0.029</w:t>
            </w:r>
          </w:p>
        </w:tc>
        <w:tc>
          <w:tcPr>
            <w:tcW w:type="dxa" w:w="166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0.3494 ± 0.0166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0.050 ± 0.006</w:t>
            </w:r>
          </w:p>
        </w:tc>
      </w:tr>
      <w:tr>
        <w:trPr>
          <w:cantSplit w:val="true"/>
        </w:trPr>
        <w:tc>
          <w:tcPr>
            <w:tcW w:type="dxa" w:w="26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End of first year (all) †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0.722 ± 0.019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0.636 ± 0.019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0.895 ± 0.012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0.757 ± 0.038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0.510 ± 0.063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0.887 ± 0.025</w:t>
            </w:r>
          </w:p>
        </w:tc>
        <w:tc>
          <w:tcPr>
            <w:tcW w:type="dxa" w:w="166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0.3113 ± 0.0165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0.042 ± 0.007</w:t>
            </w:r>
          </w:p>
        </w:tc>
      </w:tr>
      <w:tr>
        <w:trPr>
          <w:cantSplit w:val="true"/>
        </w:trPr>
        <w:tc>
          <w:tcPr>
            <w:tcW w:type="dxa" w:w="1465"/>
            <w:gridSpan w:val="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60" w:after="20" w:line="240" w:lineRule="auto"/>
            </w:pPr>
            <w:r/>
            <w:r>
              <w:rPr>
                <w:i/>
                <w:sz w:val="16"/>
              </w:rPr>
              <w:t>Imbalance handling</w:t>
            </w:r>
          </w:p>
        </w:tc>
      </w:tr>
      <w:tr>
        <w:trPr>
          <w:cantSplit w:val="true"/>
        </w:trPr>
        <w:tc>
          <w:tcPr>
            <w:tcW w:type="dxa" w:w="26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SMOTENC (primary)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0.722 ± 0.019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0.636 ± 0.019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0.895 ± 0.012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0.757 ± 0.038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0.510 ± 0.063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0.887 ± 0.025</w:t>
            </w:r>
          </w:p>
        </w:tc>
        <w:tc>
          <w:tcPr>
            <w:tcW w:type="dxa" w:w="166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0.3113 ± 0.0165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0.042 ± 0.007</w:t>
            </w:r>
          </w:p>
        </w:tc>
      </w:tr>
      <w:tr>
        <w:trPr>
          <w:cantSplit w:val="true"/>
        </w:trPr>
        <w:tc>
          <w:tcPr>
            <w:tcW w:type="dxa" w:w="265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Random oversampling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0.719 ± 0.016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0.624 ± 0.020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0.893 ± 0.013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0.717 ± 0.051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0.576 ± 0.043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0.868 ± 0.038</w:t>
            </w:r>
          </w:p>
        </w:tc>
        <w:tc>
          <w:tcPr>
            <w:tcW w:type="dxa" w:w="1663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0.3206 ± 0.0212</w:t>
            </w:r>
          </w:p>
        </w:tc>
        <w:tc>
          <w:tcPr>
            <w:tcW w:type="dxa" w:w="1465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0.054 ± 0.008</w:t>
            </w:r>
          </w:p>
        </w:tc>
      </w:tr>
      <w:tr>
        <w:trPr>
          <w:cantSplit w:val="true"/>
        </w:trPr>
        <w:tc>
          <w:tcPr>
            <w:tcW w:type="dxa" w:w="265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left"/>
            </w:pPr>
            <w:r/>
            <w:r>
              <w:rPr>
                <w:b w:val="0"/>
                <w:sz w:val="16"/>
              </w:rPr>
              <w:t>No resampling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0.708 ± 0.024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0.637 ± 0.030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0.896 ± 0.008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0.766 ± 0.037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 w:val="0"/>
                <w:sz w:val="16"/>
              </w:rPr>
              <w:t>0.397 ± 0.045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0.928 ± 0.027</w:t>
            </w:r>
          </w:p>
        </w:tc>
        <w:tc>
          <w:tcPr>
            <w:tcW w:type="dxa" w:w="1663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0.3058 ± 0.0118</w:t>
            </w:r>
          </w:p>
        </w:tc>
        <w:tc>
          <w:tcPr>
            <w:tcW w:type="dxa" w:w="1465"/>
            <w:tcBorders>
              <w:bottom w:val="single" w:sz="6" w:color="000000"/>
              <w:left w:val="nil"/>
              <w:right w:val="nil"/>
              <w:top w:val="nil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sz w:val="16"/>
              </w:rPr>
              <w:t>0.037 ± 0.003</w:t>
            </w:r>
          </w:p>
        </w:tc>
      </w:tr>
    </w:tbl>
    <w:p>
      <w:pPr>
        <w:spacing w:before="60" w:after="0" w:line="240" w:lineRule="auto"/>
      </w:pPr>
      <w:r>
        <w:rPr>
          <w:sz w:val="16"/>
        </w:rPr>
        <w:t>Mean ± SD over 5 folds of stratified, profile-grouped cross-validation; bold, best value within each analysis; † primary setting. In every setting the model was re-tuned and re-calibrated (temperature scaling) within each training fold. Enrolment-only predictors exclude all curricular-unit variables; the first-semester horizon adds the six first-semester variables. Paired contrasts against the primary setting are reported in Table S10. For Brier score and ECE, lower is better.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