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SISTEMA DE COTIZACIONES AUTOMATIZADO</w:t>
      </w:r>
    </w:p>
    <w:p>
      <w:r>
        <w:t>Manual técnico y documentación funcional</w:t>
      </w:r>
    </w:p>
    <w:p>
      <w:r>
        <w:t>Integración: Descripción detallada del programa (Word original) + Guía de usuario (README) + Capturas de la GUI</w:t>
      </w:r>
    </w:p>
    <w:p>
      <w:r>
        <w:t>Autor: Daniel Araque Studios</w:t>
      </w:r>
    </w:p>
    <w:p>
      <w:r>
        <w:t>Versión: 2.0.0</w:t>
      </w:r>
    </w:p>
    <w:p>
      <w:r>
        <w:t>Fecha: 26/02/2026</w:t>
      </w:r>
    </w:p>
    <w:p>
      <w:r>
        <w:br w:type="page"/>
      </w:r>
    </w:p>
    <w:p>
      <w:pPr>
        <w:pStyle w:val="Heading1"/>
      </w:pPr>
      <w:r>
        <w:t>Tabla de contenido</w:t>
      </w:r>
    </w:p>
    <w:p>
      <w:r>
        <w:t>Para actualizar la tabla de contenido en Word: clic derecho &gt; “Actualizar campo” &gt; “Actualizar toda la tabla”.</w:t>
      </w:r>
    </w:p>
    <w:p>
      <w:r>
        <w:br w:type="page"/>
      </w:r>
    </w:p>
    <w:p>
      <w:pPr>
        <w:pStyle w:val="Heading1"/>
      </w:pPr>
      <w:r>
        <w:t>Descripción detallada del programa</w:t>
      </w:r>
    </w:p>
    <w:p>
      <w:r>
        <w:t>Sistema de Cotizaciones Automatizado</w:t>
      </w:r>
    </w:p>
    <w:p>
      <w:pPr>
        <w:pStyle w:val="Heading1"/>
      </w:pPr>
      <w:r>
        <w:t>1. INFORMACIÓN GENERAL DEL SOFTWARE</w:t>
      </w:r>
    </w:p>
    <w:p>
      <w:pPr>
        <w:pStyle w:val="Heading1"/>
      </w:pPr>
      <w:r>
        <w:t>2. PROPÓSITO Y FUNCIONALIDAD</w:t>
      </w:r>
    </w:p>
    <w:p>
      <w:r>
        <w:t>El Sistema de Cotizaciones Automatizado es una aplicación de software especializada diseñada para automatizar y optimizar el proceso completo de generación de propuestas comerciales para empresas del sector tecnológico, específicamente aquellas que ofrecen servicios de:</w:t>
        <w:br/>
        <w:br/>
        <w:t>• Desarrollo web y comercio electrónico</w:t>
        <w:br/>
        <w:t xml:space="preserve">• Marketing digital y redes sociales  </w:t>
        <w:br/>
        <w:t>• Automatización con bots de WhatsApp</w:t>
        <w:br/>
        <w:t>• Campañas de publicidad pagada</w:t>
        <w:br/>
        <w:t>• Capacitación en inteligencia artificial</w:t>
        <w:br/>
        <w:br/>
        <w:t>El software transforma un proceso manual que tradicionalmente requiere varias horas de trabajo en una tarea automatizada que se completa en minutos, manteniendo altos estándares de profesionalismo y consistencia visual.</w:t>
      </w:r>
    </w:p>
    <w:p>
      <w:pPr>
        <w:pStyle w:val="Heading1"/>
      </w:pPr>
      <w:r>
        <w:t>3. DESCRIPCIÓN TÉCNICA DETALLADA</w:t>
      </w:r>
    </w:p>
    <w:p>
      <w:pPr>
        <w:pStyle w:val="Heading2"/>
      </w:pPr>
      <w:r>
        <w:t>3.1 Arquitectura del Software</w:t>
      </w:r>
    </w:p>
    <w:p>
      <w:r>
        <w:t>El software implementa una arquitectura modular basada en el patrón MVC (Modelo-Vista-Controlador):</w:t>
        <w:br/>
        <w:br/>
        <w:t>MODELO (Backend - generate_quote.py):</w:t>
        <w:br/>
        <w:t>• Lógica de negocio para procesamiento de datos</w:t>
        <w:br/>
        <w:t>• Algoritmos de cálculo de precios y descuentos</w:t>
        <w:br/>
        <w:t>• Generación de templates HTML</w:t>
        <w:br/>
        <w:t>• Gestión de archivos y estructura de directorios</w:t>
        <w:br/>
        <w:br/>
        <w:t>VISTA (Frontend - quote_gui.py):</w:t>
        <w:br/>
        <w:t>• Interfaz gráfica desarrollada en PyQt6</w:t>
        <w:br/>
        <w:t>• Formularios de captura de datos del cliente</w:t>
        <w:br/>
        <w:t>• Sistema de validación en tiempo real</w:t>
        <w:br/>
        <w:t>• Controles de selección de servicios y precios</w:t>
        <w:br/>
        <w:br/>
        <w:t>CONTROLADOR:</w:t>
        <w:br/>
        <w:t>• Coordinación entre la interfaz y la lógica de negocio</w:t>
        <w:br/>
        <w:t>• Manejo de eventos del usuario</w:t>
        <w:br/>
        <w:t>• Procesamiento asíncrono con threading</w:t>
        <w:br/>
        <w:t>• Gestión de errores y retroalimentación al usuario</w:t>
      </w:r>
    </w:p>
    <w:p>
      <w:pPr>
        <w:pStyle w:val="Heading2"/>
      </w:pPr>
      <w:r>
        <w:t>3.2 Componentes Principales</w:t>
      </w:r>
    </w:p>
    <w:p>
      <w:r>
        <w:t>MÓDULO DE INTERFAZ GRÁFICA:</w:t>
        <w:br/>
        <w:t>• Clase ModernQuoteApp: Ventana principal de la aplicación</w:t>
        <w:br/>
        <w:t>• Clase PriceInputWidget: Widgets especializados para entrada de precios</w:t>
        <w:br/>
        <w:t>• Sistema de pestañas para organización de datos</w:t>
        <w:br/>
        <w:t>• Validación automática de campos de entrada</w:t>
        <w:br/>
        <w:br/>
        <w:t>MÓDULO DE PROCESAMIENTO:</w:t>
        <w:br/>
        <w:t>• Función get_user_input(): Captura de datos del usuario</w:t>
        <w:br/>
        <w:t>• Función select_services(): Selección de servicios a cotizar</w:t>
        <w:br/>
        <w:t>• Función parse_price_input(): Validación y formateo de precios</w:t>
        <w:br/>
        <w:t>• Función generate_client_folder_structure(): Creación de estructura de archivos</w:t>
        <w:br/>
        <w:br/>
        <w:t>MÓDULO DE GENERACIÓN:</w:t>
        <w:br/>
        <w:t>• Sistema de templates HTML con sustitución de variables</w:t>
        <w:br/>
        <w:t>• Generación automática de carpetas por cliente</w:t>
        <w:br/>
        <w:t>• Copia automática de recursos (CSS, JS, imágenes)</w:t>
        <w:br/>
        <w:t>• Creación de estructura lista para web hosting</w:t>
        <w:br/>
        <w:br/>
        <w:t>MÓDULO DE UTILIDADES:</w:t>
        <w:br/>
        <w:t>• Formateo de precios con separadores de miles colombianos</w:t>
        <w:br/>
        <w:t>• Sanitización de nombres de archivos y carpetas</w:t>
        <w:br/>
        <w:t>• Validación de datos de entrada</w:t>
        <w:br/>
        <w:t>• Manejo de errores y logging</w:t>
      </w:r>
    </w:p>
    <w:p>
      <w:pPr>
        <w:pStyle w:val="Heading1"/>
      </w:pPr>
      <w:r>
        <w:t>4. ALGORITMOS Y PROCEDIMIENTOS PRINCIPALES</w:t>
      </w:r>
    </w:p>
    <w:p>
      <w:pPr>
        <w:pStyle w:val="Heading2"/>
      </w:pPr>
      <w:r>
        <w:t>4.1 Algoritmo de Cálculo de Precios con Descuento</w:t>
      </w:r>
    </w:p>
    <w:p>
      <w:r>
        <w:t xml:space="preserve">ENTRADA: </w:t>
        <w:br/>
        <w:t>- precio_final (precio que paga el cliente)</w:t>
        <w:br/>
        <w:t>- porcentaje_descuento (0-99%)</w:t>
        <w:br/>
        <w:br/>
        <w:t>PROCESO:</w:t>
        <w:br/>
        <w:t>1. Validar que precio_final &gt; 0</w:t>
        <w:br/>
        <w:t>2. Validar que 0 ≤ porcentaje_descuento &lt; 100</w:t>
        <w:br/>
        <w:t>3. Calcular multiplicador = 1 - (porcentaje_descuento / 100)</w:t>
        <w:br/>
        <w:t>4. Calcular precio_original = precio_final / multiplicador</w:t>
        <w:br/>
        <w:t>5. Formatear números con separadores de miles colombianos</w:t>
        <w:br/>
        <w:br/>
        <w:t>SALIDA:</w:t>
        <w:br/>
        <w:t>- precio_original (precio antes del descuento)</w:t>
        <w:br/>
        <w:t>- precio_final (precio con descuento aplicado)</w:t>
        <w:br/>
        <w:br/>
        <w:t>EJEMPLO:</w:t>
        <w:br/>
        <w:t>Entrada: precio_final = 4.500.000, descuento = 10%</w:t>
        <w:br/>
        <w:t>Proceso: multiplicador = 1 - (10/100) = 0.9</w:t>
        <w:br/>
        <w:t xml:space="preserve">         precio_original = 4.500.000 / 0.9 = 5.000.000</w:t>
        <w:br/>
        <w:t>Salida: Original: $5.000.000, Final: $4.500.000</w:t>
      </w:r>
    </w:p>
    <w:p>
      <w:pPr>
        <w:pStyle w:val="Heading2"/>
      </w:pPr>
      <w:r>
        <w:t>4.2 Algoritmo de Generación de Estructura de Archivos</w:t>
      </w:r>
    </w:p>
    <w:p>
      <w:r>
        <w:t>ENTRADA:</w:t>
        <w:br/>
        <w:t>- nombre_cliente (string)</w:t>
        <w:br/>
        <w:t>- datos_cotizacion (diccionario con información)</w:t>
        <w:br/>
        <w:t>- template_html (archivo base)</w:t>
        <w:br/>
        <w:br/>
        <w:t>PROCESO:</w:t>
        <w:br/>
        <w:t>1. Sanitizar nombre_cliente para nombre de carpeta válido</w:t>
        <w:br/>
        <w:t>2. Crear ruta: cotizaciones/[nombre_cliente]/to_upload/</w:t>
        <w:br/>
        <w:t>3. Copiar carpeta assets/ completa al destino</w:t>
        <w:br/>
        <w:t>4. Procesar template HTML con datos de la cotizacion:</w:t>
        <w:br/>
        <w:t xml:space="preserve">   a. Reemplazar variables de cliente y empresa</w:t>
        <w:br/>
        <w:t xml:space="preserve">   b. Aplicar secciones de servicios seleccionados</w:t>
        <w:br/>
        <w:t xml:space="preserve">   c. Insertar precios formateados</w:t>
        <w:br/>
        <w:t xml:space="preserve">   d. Configurar términos y condiciones</w:t>
        <w:br/>
        <w:t>5. Guardar como index.html en la carpeta to_upload/</w:t>
        <w:br/>
        <w:t>6. Verificar integridad de archivos generados</w:t>
        <w:br/>
        <w:br/>
        <w:t>SALIDA:</w:t>
        <w:br/>
        <w:t>- Estructura de carpetas lista para deployment</w:t>
        <w:br/>
        <w:t>- Archivo index.html funcional</w:t>
        <w:br/>
        <w:t>- Recursos completos (CSS, JS, imágenes)</w:t>
        <w:br/>
        <w:t>- Mensaje de confirmación con rutas generadas</w:t>
      </w:r>
    </w:p>
    <w:p>
      <w:pPr>
        <w:pStyle w:val="Heading1"/>
      </w:pPr>
      <w:r>
        <w:t>5. ESPECIFICACIONES TÉCNICAS</w:t>
      </w:r>
    </w:p>
    <w:p>
      <w:pPr>
        <w:pStyle w:val="Heading1"/>
      </w:pPr>
      <w:r>
        <w:t>6. PROCEDIMIENTO DE INSTALACIÓN Y CONFIGURACIÓN</w:t>
      </w:r>
    </w:p>
    <w:p>
      <w:r>
        <w:t>REQUISITOS PREVIOS:</w:t>
        <w:br/>
        <w:t>1. Sistema operativo compatible (Windows 10+, macOS 10.14+, Linux Ubuntu 18+)</w:t>
        <w:br/>
        <w:t>2. Espacio en disco: mínimo 100 MB</w:t>
        <w:br/>
        <w:t>3. Memoria RAM: mínimo 4 GB</w:t>
        <w:br/>
        <w:br/>
        <w:t>PASOS DE INSTALACIÓN (VERSIÓN EJECUTABLE):</w:t>
        <w:br/>
        <w:t>1. Descargar el ejecutable del software (empaquetado con PyInstaller)</w:t>
        <w:br/>
        <w:t>2. Extraer archivos en directorio deseado</w:t>
        <w:br/>
        <w:t>3. Ejecutar el archivo Sistema_Cotizaciones.exe (Windows) o ejecutable correspondiente</w:t>
        <w:br/>
        <w:t>4. El software está listo para usar sin instalaciones adicionales</w:t>
        <w:br/>
        <w:br/>
        <w:t>NOTA: El software viene empaquetado con PyInstaller e incluye todas las dependencias necesarias.</w:t>
        <w:br/>
        <w:t>No requiere instalación previa de Python ni librerías adicionales.</w:t>
        <w:br/>
        <w:br/>
        <w:t>CONFIGURACIÓN INICIAL:</w:t>
        <w:br/>
        <w:t>1. Configurar datos de empresa por defecto</w:t>
        <w:br/>
        <w:t>2. Personalizar templates HTML según branding</w:t>
        <w:br/>
        <w:t>3. Ajustar precios base de servicios</w:t>
        <w:br/>
        <w:t>4. Configurar términos y condiciones estándar</w:t>
        <w:br/>
        <w:br/>
        <w:t>VERIFICACIÓN DE FUNCIONAMIENTO:</w:t>
        <w:br/>
        <w:t>1. Generar cotización de prueba</w:t>
        <w:br/>
        <w:t>2. Verificar creación de estructura de archivos</w:t>
        <w:br/>
        <w:t>3. Comprobar visualización de HTML generado</w:t>
        <w:br/>
        <w:t>4. Validar integridad de recursos (CSS, JS, imágenes)</w:t>
      </w:r>
    </w:p>
    <w:p>
      <w:pPr>
        <w:pStyle w:val="Heading1"/>
      </w:pPr>
      <w:r>
        <w:t>7. CASOS DE USO PRINCIPALES</w:t>
      </w:r>
    </w:p>
    <w:p>
      <w:r>
        <w:t>CASO DE USO 1: Generación de Cotización Completa</w:t>
        <w:br/>
        <w:t>Actor: Usuario (Comercial/Vendedor)</w:t>
        <w:br/>
        <w:t>Flujo: Ingresar datos → Seleccionar servicios → Configurar precios → Generar</w:t>
        <w:br/>
        <w:t>Resultado: Carpeta completa con cotización lista para envío</w:t>
        <w:br/>
        <w:br/>
        <w:t>CASO DE USO 2: Cálculo Automático de Precios</w:t>
        <w:br/>
        <w:t>Actor: Usuario</w:t>
        <w:br/>
        <w:t>Flujo: Ingresar precio final → Seleccionar % descuento → Sistema calcula precio original</w:t>
        <w:br/>
        <w:t>Resultado: Precios originales y finales calculados automáticamente</w:t>
        <w:br/>
        <w:br/>
        <w:t>CASO DE USO 3: Personalización de Servicios</w:t>
        <w:br/>
        <w:t>Actor: Usuario</w:t>
        <w:br/>
        <w:t>Flujo: Seleccionar servicios específicos → Solo aparecen secciones relevantes</w:t>
        <w:br/>
        <w:t>Resultado: Cotización personalizada solo con servicios seleccionados</w:t>
        <w:br/>
        <w:br/>
        <w:t>CASO DE USO 4: Generación Masiva</w:t>
        <w:br/>
        <w:t>Actor: Usuario avanzado</w:t>
        <w:br/>
        <w:t>Flujo: Procesar múltiples clientes → Generar estructura organizada</w:t>
        <w:br/>
        <w:t>Resultado: Múltiples carpetas organizadas en /cotizaciones/</w:t>
      </w:r>
    </w:p>
    <w:p>
      <w:pPr>
        <w:pStyle w:val="Heading1"/>
      </w:pPr>
      <w:r>
        <w:t>8. MARCO LEGAL Y NORMATIVO</w:t>
      </w:r>
    </w:p>
    <w:p>
      <w:r>
        <w:t>CUMPLIMIENTO DE REQUISITOS LEGALES EN COLOMBIA</w:t>
        <w:br/>
        <w:br/>
        <w:t>Este software cumple con todos los requisitos establecidos para el registro legal de software en Colombia:</w:t>
        <w:br/>
        <w:br/>
        <w:t>1. PRODUCCIÓN DE SOFTWARE</w:t>
        <w:br/>
        <w:t xml:space="preserve">   • Código fuente completo en formato comprimido</w:t>
        <w:br/>
        <w:t xml:space="preserve">   • Algoritmos e instrucciones según el lenguaje de programación (Python)</w:t>
        <w:br/>
        <w:t xml:space="preserve">   • Manual técnico y programa ejecutable incluidos</w:t>
        <w:br/>
        <w:t xml:space="preserve">   • Documentación técnica detallada</w:t>
        <w:br/>
        <w:br/>
        <w:t>2. RESOLUCIÓN 00285 DE COLCIENCIAS</w:t>
        <w:br/>
        <w:t xml:space="preserve">   Expedida el 19 de marzo de 2004</w:t>
        <w:br/>
        <w:t xml:space="preserve">   </w:t>
        <w:br/>
        <w:t xml:space="preserve">   El software satisface los criterios establecidos en esta resolución:</w:t>
        <w:br/>
        <w:t xml:space="preserve">   • Innovación tecnológica en automatización de procesos comerciales</w:t>
        <w:br/>
        <w:t xml:space="preserve">   • Desarrollo de algoritmos propietarios para cálculo de precios</w:t>
        <w:br/>
        <w:t xml:space="preserve">   • Implementación de interfaz gráfica moderna</w:t>
        <w:br/>
        <w:t xml:space="preserve">   • Generación automática de contenido web</w:t>
        <w:br/>
        <w:t xml:space="preserve">   • Valor agregado en optimización de procesos empresariales</w:t>
        <w:br/>
        <w:br/>
        <w:t>3. REGISTRO DE DERECHOS DE AUTOR</w:t>
        <w:br/>
        <w:t xml:space="preserve">   • Entidad: Ministerio del Interior - Dirección Nacional de Derechos de Autor</w:t>
        <w:br/>
        <w:t xml:space="preserve">   • Tipo: Certificado de Registro de Soporte Lógico</w:t>
        <w:br/>
        <w:t xml:space="preserve">   • Propósito: Protección legal del software desarrollado</w:t>
        <w:br/>
        <w:t xml:space="preserve">   • Estado: Preparado para solicitud de certificado</w:t>
        <w:br/>
        <w:br/>
        <w:t>DOCUMENTACIÓN INCLUIDA PARA REGISTRO:</w:t>
        <w:br/>
        <w:t>✓ Descripción detallada del programa (este documento)</w:t>
        <w:br/>
        <w:t>✓ Material auxiliar para usuarios</w:t>
        <w:br/>
        <w:t>✓ Código fuente comprimido con algoritmos</w:t>
        <w:br/>
        <w:t>✓ Manuales técnicos y de instalación</w:t>
        <w:br/>
        <w:t>✓ Especificaciones técnicas completas</w:t>
      </w:r>
    </w:p>
    <w:p>
      <w:pPr>
        <w:pStyle w:val="Heading1"/>
      </w:pPr>
      <w:r>
        <w:t>9. CLASIFICACIÓN DEL SOFTWARE SEGÚN RESOLUCIÓN 00285</w:t>
      </w:r>
    </w:p>
    <w:p>
      <w:r>
        <w:t>TIPO DE PRODUCCIÓN: PRODUCCIÓN TECNOLÓGICA</w:t>
        <w:br/>
        <w:br/>
        <w:t>Según la Resolución 00285 de Colciencias, este software se clasifica como PRODUCCIÓN TECNOLÓGICA porque genera innovación al:</w:t>
        <w:br/>
        <w:br/>
        <w:t>• Desarrollar una nueva aplicación especializada en automatización de cotizaciones</w:t>
        <w:br/>
        <w:t>• Implementar mejoras significativas sobre procesos manuales existentes</w:t>
        <w:br/>
        <w:t>• Crear algoritmos propietarios de cálculo automático de precios con descuentos</w:t>
        <w:br/>
        <w:t>• Extender herramientas existentes (PyQt6) con funcionalidad especializada</w:t>
        <w:br/>
        <w:t>• Mejorar significativamente la metodología de generación de propuestas comerciales</w:t>
        <w:br/>
        <w:t>• Innovar en la integración de cálculo financiero con generación automática de web</w:t>
        <w:br/>
        <w:br/>
        <w:t>El software NO se clasifica como producción científica porque no genera conocimiento teórico nuevo (nuevos modelos algorítmicos, nuevas metodologías de desarrollo, nuevos sistemas operativos, etc.), sino que aplica tecnologías existentes de manera innovadora para resolver un problema específico del sector comercial.</w:t>
      </w:r>
    </w:p>
    <w:p>
      <w:pPr>
        <w:pStyle w:val="Heading1"/>
      </w:pPr>
      <w:r>
        <w:t>10. CRITERIOS TÉCNICOS DE PONDERACIÓN</w:t>
      </w:r>
    </w:p>
    <w:p>
      <w:r>
        <w:t>Evaluación del software según los criterios técnicos establecidos en la Resolución 00285 de Colciencias:</w:t>
      </w:r>
    </w:p>
    <w:p>
      <w:r>
        <w:t>CONCLUSIÓN: El software cumple satisfactoriamente con los 9 criterios técnicos de ponderación establecidos en la Resolución 00285 de Colciencias, demostrando ser un producto tecnológico robusto, bien diseñado, documentado y apto para registro legal.</w:t>
      </w:r>
    </w:p>
    <w:p>
      <w:r>
        <w:t>Documento generado el 25 de February de 2026</w:t>
      </w:r>
    </w:p>
    <w:p>
      <w:r>
        <w:t>Daniel Araque Studios - Registro Legal de Software Colombia</w:t>
      </w:r>
    </w:p>
    <w:p>
      <w:r>
        <w:br w:type="page"/>
      </w:r>
    </w:p>
    <w:p>
      <w:pPr>
        <w:pStyle w:val="Heading1"/>
      </w:pPr>
      <w:r>
        <w:t>11. Guía de Usuario e Instrucciones Operativas (integración del README)</w:t>
      </w:r>
    </w:p>
    <w:p>
      <w:pPr>
        <w:pStyle w:val="Heading2"/>
      </w:pPr>
      <w:r>
        <w:t>11.1 Descripción operacional</w:t>
      </w:r>
    </w:p>
    <w:p>
      <w:r>
        <w:t>El sistema genera cotizaciones HTML personalizadas mediante dos modalidades de operación: interfaz de consola (modo original) e interfaz gráfica moderna (GUI), recomendada para operación diaria. Ambos modos producen una salida estructurada lista para entrega al cliente o despliegue web.</w:t>
      </w:r>
    </w:p>
    <w:p>
      <w:pPr>
        <w:pStyle w:val="Heading2"/>
      </w:pPr>
      <w:r>
        <w:t>11.2 Servicios disponibles</w:t>
      </w:r>
    </w:p>
    <w:p>
      <w:r>
        <w:t>Los servicios parametrizables en la cotización incluyen:</w:t>
      </w:r>
    </w:p>
    <w:p>
      <w:pPr>
        <w:pStyle w:val="ListBullet"/>
      </w:pPr>
      <w:r>
        <w:t>Desarrollo Web: página web ecommerce completa.</w:t>
      </w:r>
    </w:p>
    <w:p>
      <w:pPr>
        <w:pStyle w:val="ListBullet"/>
      </w:pPr>
      <w:r>
        <w:t>Redes Sociales: estrategia integral de redes sociales y contenido.</w:t>
      </w:r>
    </w:p>
    <w:p>
      <w:pPr>
        <w:pStyle w:val="ListBullet"/>
      </w:pPr>
      <w:r>
        <w:t>Bot de WhatsApp: automatización inteligente para atención 24/7.</w:t>
      </w:r>
    </w:p>
    <w:p>
      <w:pPr>
        <w:pStyle w:val="ListBullet"/>
      </w:pPr>
      <w:r>
        <w:t>Campañas Facebook: publicidad pagada y estrategias de tráfico.</w:t>
      </w:r>
    </w:p>
    <w:p>
      <w:pPr>
        <w:pStyle w:val="ListBullet"/>
      </w:pPr>
      <w:r>
        <w:t>Capacitación en IA: formación en herramientas de inteligencia artificial.</w:t>
      </w:r>
    </w:p>
    <w:p>
      <w:pPr>
        <w:pStyle w:val="Heading2"/>
      </w:pPr>
      <w:r>
        <w:t>11.3 Operación mediante GUI (recomendada)</w:t>
      </w:r>
    </w:p>
    <w:p>
      <w:r>
        <w:t>La interfaz gráfica organiza el proceso por pestañas (Información, Servicios y Precios). Incluye validación en tiempo real, vista previa, barra de progreso y ejecución en segundo plano mediante threading para evitar bloqueos durante la generación.</w:t>
      </w:r>
    </w:p>
    <w:p>
      <w:pPr>
        <w:pStyle w:val="Heading3"/>
      </w:pPr>
      <w:r>
        <w:t>11.3.1 Ejecución</w:t>
      </w:r>
    </w:p>
    <w:p>
      <w:pPr>
        <w:pStyle w:val="ListBullet"/>
      </w:pPr>
      <w:r>
        <w:t>python quote_gui.py</w:t>
      </w:r>
    </w:p>
    <w:p>
      <w:pPr>
        <w:pStyle w:val="ListBullet"/>
      </w:pPr>
      <w:r>
        <w:t>python run_gui.py</w:t>
      </w:r>
    </w:p>
    <w:p>
      <w:pPr>
        <w:pStyle w:val="Heading3"/>
      </w:pPr>
      <w:r>
        <w:t>11.3.2 Flujo de trabajo</w:t>
      </w:r>
    </w:p>
    <w:p>
      <w:pPr>
        <w:pStyle w:val="ListNumber"/>
      </w:pPr>
      <w:r>
        <w:t>Información: diligenciar datos del cliente, remitente y términos de la oferta.</w:t>
      </w:r>
    </w:p>
    <w:p>
      <w:pPr>
        <w:pStyle w:val="ListNumber"/>
      </w:pPr>
      <w:r>
        <w:t>Servicios: seleccionar los servicios a incluir.</w:t>
      </w:r>
    </w:p>
    <w:p>
      <w:pPr>
        <w:pStyle w:val="ListNumber"/>
      </w:pPr>
      <w:r>
        <w:t>Precios: configurar valores, descuento y validar cálculo automático.</w:t>
      </w:r>
    </w:p>
    <w:p>
      <w:pPr>
        <w:pStyle w:val="ListNumber"/>
      </w:pPr>
      <w:r>
        <w:t>Generar: producir la cotización HTML y estructura de carpetas.</w:t>
      </w:r>
    </w:p>
    <w:p>
      <w:pPr>
        <w:pStyle w:val="Heading3"/>
      </w:pPr>
      <w:r>
        <w:t>11.3.3 Evidencia visual de la interfaz (capturas)</w:t>
      </w:r>
    </w:p>
    <w:p>
      <w:r>
        <w:t>Las siguientes figuras documentan la interfaz GUI y su rol técnico dentro del flujo de generación.</w:t>
      </w:r>
    </w:p>
    <w:p>
      <w:pPr>
        <w:jc w:val="center"/>
      </w:pPr>
      <w:r>
        <w:drawing>
          <wp:inline xmlns:a="http://schemas.openxmlformats.org/drawingml/2006/main" xmlns:pic="http://schemas.openxmlformats.org/drawingml/2006/picture">
            <wp:extent cx="5760720" cy="3081595"/>
            <wp:docPr id="1" name="Picture 1"/>
            <wp:cNvGraphicFramePr>
              <a:graphicFrameLocks noChangeAspect="1"/>
            </wp:cNvGraphicFramePr>
            <a:graphic>
              <a:graphicData uri="http://schemas.openxmlformats.org/drawingml/2006/picture">
                <pic:pic>
                  <pic:nvPicPr>
                    <pic:cNvPr id="0" name="0d862cdf-a701-47bb-84ac-93deb76bf082.png"/>
                    <pic:cNvPicPr/>
                  </pic:nvPicPr>
                  <pic:blipFill>
                    <a:blip r:embed="rId9"/>
                    <a:stretch>
                      <a:fillRect/>
                    </a:stretch>
                  </pic:blipFill>
                  <pic:spPr>
                    <a:xfrm>
                      <a:off x="0" y="0"/>
                      <a:ext cx="5760720" cy="3081595"/>
                    </a:xfrm>
                    <a:prstGeom prst="rect"/>
                  </pic:spPr>
                </pic:pic>
              </a:graphicData>
            </a:graphic>
          </wp:inline>
        </w:drawing>
      </w:r>
    </w:p>
    <w:p>
      <w:pPr>
        <w:jc w:val="center"/>
      </w:pPr>
      <w:r>
        <w:t>Figura 1. Pestaña “Información” del sistema de cotizaciones (GUI).</w:t>
      </w:r>
    </w:p>
    <w:p>
      <w:r>
        <w:t>Interpretación técnica: Esta vista concentra la captura estructurada de información y define los metadatos que se insertan en la plantilla HTML (cliente, remitente y condiciones). La segmentación por bloques mejora consistencia y reduce omisiones.</w:t>
      </w:r>
    </w:p>
    <w:p>
      <w:pPr>
        <w:jc w:val="center"/>
      </w:pPr>
      <w:r>
        <w:drawing>
          <wp:inline xmlns:a="http://schemas.openxmlformats.org/drawingml/2006/main" xmlns:pic="http://schemas.openxmlformats.org/drawingml/2006/picture">
            <wp:extent cx="5760720" cy="3058975"/>
            <wp:docPr id="2" name="Picture 2"/>
            <wp:cNvGraphicFramePr>
              <a:graphicFrameLocks noChangeAspect="1"/>
            </wp:cNvGraphicFramePr>
            <a:graphic>
              <a:graphicData uri="http://schemas.openxmlformats.org/drawingml/2006/picture">
                <pic:pic>
                  <pic:nvPicPr>
                    <pic:cNvPr id="0" name="603ce220-2aa3-42ac-9a20-7fa14be722dc.png"/>
                    <pic:cNvPicPr/>
                  </pic:nvPicPr>
                  <pic:blipFill>
                    <a:blip r:embed="rId10"/>
                    <a:stretch>
                      <a:fillRect/>
                    </a:stretch>
                  </pic:blipFill>
                  <pic:spPr>
                    <a:xfrm>
                      <a:off x="0" y="0"/>
                      <a:ext cx="5760720" cy="3058975"/>
                    </a:xfrm>
                    <a:prstGeom prst="rect"/>
                  </pic:spPr>
                </pic:pic>
              </a:graphicData>
            </a:graphic>
          </wp:inline>
        </w:drawing>
      </w:r>
    </w:p>
    <w:p>
      <w:pPr>
        <w:jc w:val="center"/>
      </w:pPr>
      <w:r>
        <w:t>Figura 2. Pestaña “Servicios” con selección dinámica de componentes de la oferta.</w:t>
      </w:r>
    </w:p>
    <w:p>
      <w:r>
        <w:t>Interpretación técnica: La selección de servicios actúa como control de inclusión para secciones del template. El motor de generación agrega únicamente los módulos seleccionados, garantizando una propuesta personalizada.</w:t>
      </w:r>
    </w:p>
    <w:p>
      <w:pPr>
        <w:jc w:val="center"/>
      </w:pPr>
      <w:r>
        <w:drawing>
          <wp:inline xmlns:a="http://schemas.openxmlformats.org/drawingml/2006/main" xmlns:pic="http://schemas.openxmlformats.org/drawingml/2006/picture">
            <wp:extent cx="5760720" cy="3104004"/>
            <wp:docPr id="3" name="Picture 3"/>
            <wp:cNvGraphicFramePr>
              <a:graphicFrameLocks noChangeAspect="1"/>
            </wp:cNvGraphicFramePr>
            <a:graphic>
              <a:graphicData uri="http://schemas.openxmlformats.org/drawingml/2006/picture">
                <pic:pic>
                  <pic:nvPicPr>
                    <pic:cNvPr id="0" name="d5514ec1-f65a-4ef7-8ba9-192ef8fced73.png"/>
                    <pic:cNvPicPr/>
                  </pic:nvPicPr>
                  <pic:blipFill>
                    <a:blip r:embed="rId11"/>
                    <a:stretch>
                      <a:fillRect/>
                    </a:stretch>
                  </pic:blipFill>
                  <pic:spPr>
                    <a:xfrm>
                      <a:off x="0" y="0"/>
                      <a:ext cx="5760720" cy="3104004"/>
                    </a:xfrm>
                    <a:prstGeom prst="rect"/>
                  </pic:spPr>
                </pic:pic>
              </a:graphicData>
            </a:graphic>
          </wp:inline>
        </w:drawing>
      </w:r>
    </w:p>
    <w:p>
      <w:pPr>
        <w:jc w:val="center"/>
      </w:pPr>
      <w:r>
        <w:t>Figura 3. Pestaña “Precios” para configuración de valores y cálculo de precio original.</w:t>
      </w:r>
    </w:p>
    <w:p>
      <w:r>
        <w:t>Interpretación técnica: El módulo de precios implementa el algoritmo de descuento para calcular el precio original a partir del precio final y el porcentaje configurado, con validación y formato numérico.</w:t>
      </w:r>
    </w:p>
    <w:p>
      <w:pPr>
        <w:pStyle w:val="Heading2"/>
      </w:pPr>
      <w:r>
        <w:t>11.4 Operación mediante consola (modo original)</w:t>
      </w:r>
    </w:p>
    <w:p>
      <w:pPr>
        <w:pStyle w:val="Heading3"/>
      </w:pPr>
      <w:r>
        <w:t>11.4.1 Ejecución</w:t>
      </w:r>
    </w:p>
    <w:p>
      <w:pPr>
        <w:pStyle w:val="ListBullet"/>
      </w:pPr>
      <w:r>
        <w:t>python generate_quote.py</w:t>
      </w:r>
    </w:p>
    <w:p>
      <w:pPr>
        <w:pStyle w:val="Heading3"/>
      </w:pPr>
      <w:r>
        <w:t>11.4.2 Flujo de trabajo</w:t>
      </w:r>
    </w:p>
    <w:p>
      <w:pPr>
        <w:pStyle w:val="ListNumber"/>
      </w:pPr>
      <w:r>
        <w:t>Ingresar información del cliente.</w:t>
      </w:r>
    </w:p>
    <w:p>
      <w:pPr>
        <w:pStyle w:val="ListNumber"/>
      </w:pPr>
      <w:r>
        <w:t>Seleccionar servicios (s/n).</w:t>
      </w:r>
    </w:p>
    <w:p>
      <w:pPr>
        <w:pStyle w:val="ListNumber"/>
      </w:pPr>
      <w:r>
        <w:t>Configurar precios para servicios seleccionados.</w:t>
      </w:r>
    </w:p>
    <w:p>
      <w:pPr>
        <w:pStyle w:val="ListNumber"/>
      </w:pPr>
      <w:r>
        <w:t>Definir términos de la oferta.</w:t>
      </w:r>
    </w:p>
    <w:p>
      <w:pPr>
        <w:pStyle w:val="ListNumber"/>
      </w:pPr>
      <w:r>
        <w:t>Generación automática de la cotización.</w:t>
      </w:r>
    </w:p>
    <w:p>
      <w:pPr>
        <w:pStyle w:val="Heading2"/>
      </w:pPr>
      <w:r>
        <w:t>11.5 Archivos del sistema</w:t>
      </w:r>
    </w:p>
    <w:p>
      <w:pPr>
        <w:pStyle w:val="ListBullet"/>
      </w:pPr>
      <w:r>
        <w:t>generate_quote.py: versión consola original.</w:t>
      </w:r>
    </w:p>
    <w:p>
      <w:pPr>
        <w:pStyle w:val="ListBullet"/>
      </w:pPr>
      <w:r>
        <w:t>quote_gui.py: interfaz gráfica moderna.</w:t>
      </w:r>
    </w:p>
    <w:p>
      <w:pPr>
        <w:pStyle w:val="ListBullet"/>
      </w:pPr>
      <w:r>
        <w:t>run_gui.py: launcher para GUI.</w:t>
      </w:r>
    </w:p>
    <w:p>
      <w:pPr>
        <w:pStyle w:val="ListBullet"/>
      </w:pPr>
      <w:r>
        <w:t>template.html: plantilla HTML base.</w:t>
      </w:r>
    </w:p>
    <w:p>
      <w:pPr>
        <w:pStyle w:val="ListBullet"/>
      </w:pPr>
      <w:r>
        <w:t>cotizacion_generada.html: archivo de salida.</w:t>
      </w:r>
    </w:p>
    <w:p>
      <w:pPr>
        <w:pStyle w:val="ListBullet"/>
      </w:pPr>
      <w:r>
        <w:t>README.md: guía de usuario.</w:t>
      </w:r>
    </w:p>
    <w:p>
      <w:pPr>
        <w:pStyle w:val="Heading2"/>
      </w:pPr>
      <w:r>
        <w:t>11.6 Requisitos e instalación</w:t>
      </w:r>
    </w:p>
    <w:p>
      <w:r>
        <w:t>Dependencia principal: PyQt6.</w:t>
      </w:r>
    </w:p>
    <w:p>
      <w:r>
        <w:t>Instalación:</w:t>
      </w:r>
    </w:p>
    <w:p>
      <w:pPr>
        <w:pStyle w:val="ListBullet"/>
      </w:pPr>
      <w:r>
        <w:t>pip install PyQt6</w:t>
      </w:r>
    </w:p>
    <w:p>
      <w:pPr>
        <w:pStyle w:val="Heading2"/>
      </w:pPr>
      <w:r>
        <w:t>11.7 Solución de problemas</w:t>
      </w:r>
    </w:p>
    <w:p>
      <w:pPr>
        <w:pStyle w:val="ListBullet"/>
      </w:pPr>
      <w:r>
        <w:t>Error PyQt6: actualizar pip e instalar PyQt6 nuevamente.</w:t>
      </w:r>
    </w:p>
    <w:p>
      <w:pPr>
        <w:pStyle w:val="ListBullet"/>
      </w:pPr>
      <w:r>
        <w:t>Error de plantilla: verificar existencia de template.html y permisos de escritura.</w:t>
      </w:r>
    </w:p>
    <w:p>
      <w:pPr>
        <w:pStyle w:val="ListBullet"/>
      </w:pPr>
      <w:r>
        <w:t>Error de generación: completar campos obligatorios, seleccionar al menos un servicio y validar formato de precios.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