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1FF0B" w14:textId="77777777" w:rsidR="00B15AC8" w:rsidRPr="00B15AC8" w:rsidRDefault="00B15AC8" w:rsidP="009D2654">
      <w:pPr>
        <w:tabs>
          <w:tab w:val="left" w:pos="998"/>
        </w:tabs>
        <w:spacing w:line="10" w:lineRule="atLeast"/>
        <w:ind w:left="-142" w:firstLine="142"/>
        <w:jc w:val="center"/>
        <w:rPr>
          <w:rFonts w:ascii="Montserrat-regular" w:hAnsi="Montserrat-regular" w:cs="Arial"/>
          <w:color w:val="000000"/>
          <w:sz w:val="16"/>
          <w:szCs w:val="16"/>
        </w:rPr>
      </w:pPr>
    </w:p>
    <w:p w14:paraId="5111AFA7" w14:textId="4D7AC630"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B15AC8" w:rsidRDefault="009D2654" w:rsidP="009D2654">
      <w:pPr>
        <w:tabs>
          <w:tab w:val="left" w:pos="998"/>
        </w:tabs>
        <w:spacing w:line="10" w:lineRule="atLeast"/>
        <w:ind w:left="-142" w:firstLine="142"/>
        <w:jc w:val="center"/>
        <w:rPr>
          <w:rFonts w:ascii="Montserrat-regular" w:hAnsi="Montserrat-regular" w:cs="Arial"/>
          <w:color w:val="000000"/>
          <w:sz w:val="16"/>
          <w:szCs w:val="16"/>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39F12DA" w14:textId="04D4C208" w:rsidR="00B15AC8"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712462B4" w14:textId="77777777" w:rsidR="00B15AC8" w:rsidRPr="00B15AC8" w:rsidRDefault="00B15AC8" w:rsidP="009C0A3A">
      <w:pPr>
        <w:suppressAutoHyphens/>
        <w:autoSpaceDE w:val="0"/>
        <w:autoSpaceDN w:val="0"/>
        <w:adjustRightInd w:val="0"/>
        <w:spacing w:line="10" w:lineRule="atLeast"/>
        <w:rPr>
          <w:rFonts w:ascii="Montserrat Bold" w:hAnsi="Montserrat Bold" w:cs="Arial"/>
          <w:b/>
          <w:bCs/>
          <w:color w:val="000000"/>
          <w:sz w:val="12"/>
          <w:szCs w:val="12"/>
        </w:rPr>
      </w:pP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1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79"/>
        <w:gridCol w:w="276"/>
        <w:gridCol w:w="276"/>
        <w:gridCol w:w="8154"/>
      </w:tblGrid>
      <w:tr w:rsidR="00B15AC8" w14:paraId="3EFC9CE1" w14:textId="77777777" w:rsidTr="00B15AC8">
        <w:trPr>
          <w:trHeight w:val="768"/>
        </w:trPr>
        <w:tc>
          <w:tcPr>
            <w:tcW w:w="2379" w:type="dxa"/>
          </w:tcPr>
          <w:p w14:paraId="5AF695C3" w14:textId="1A85C4CB" w:rsidR="00B15AC8" w:rsidRPr="009D2654" w:rsidRDefault="00B15AC8" w:rsidP="00D527A6">
            <w:pPr>
              <w:suppressAutoHyphens/>
              <w:autoSpaceDE w:val="0"/>
              <w:autoSpaceDN w:val="0"/>
              <w:adjustRightInd w:val="0"/>
              <w:spacing w:line="192" w:lineRule="auto"/>
              <w:rPr>
                <w:rFonts w:ascii="Montserrat" w:hAnsi="Montserrat" w:cs="Arial"/>
                <w:color w:val="000000"/>
                <w:sz w:val="15"/>
                <w:szCs w:val="15"/>
              </w:rPr>
            </w:pPr>
            <w:r w:rsidRPr="009D2654">
              <w:rPr>
                <w:rFonts w:ascii="Montserrat" w:hAnsi="Montserrat" w:cs="Arial"/>
                <w:color w:val="000000"/>
                <w:sz w:val="15"/>
                <w:szCs w:val="15"/>
              </w:rPr>
              <w:t>Se autodetermina y cuida de sí.</w:t>
            </w:r>
          </w:p>
          <w:p w14:paraId="1F6AB3DA" w14:textId="405C09C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p>
        </w:tc>
        <w:tc>
          <w:tcPr>
            <w:tcW w:w="276" w:type="dxa"/>
          </w:tcPr>
          <w:p w14:paraId="306C8739"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B827208" w14:textId="52660F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258ECFF5" w14:textId="08AE0549"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335154DA" w14:textId="7B25C29B"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4AC1D7A8" w14:textId="77777777"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3"/>
                <w:szCs w:val="13"/>
              </w:rPr>
            </w:pPr>
          </w:p>
        </w:tc>
      </w:tr>
      <w:tr w:rsidR="00B15AC8" w14:paraId="44E68F87" w14:textId="77777777" w:rsidTr="00B15AC8">
        <w:trPr>
          <w:trHeight w:val="391"/>
        </w:trPr>
        <w:tc>
          <w:tcPr>
            <w:tcW w:w="2379" w:type="dxa"/>
          </w:tcPr>
          <w:p w14:paraId="7C1B496A" w14:textId="2FD0155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76" w:type="dxa"/>
          </w:tcPr>
          <w:p w14:paraId="7CA2FF66"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DC5401" w14:textId="4E8C6F9F"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488F84CD" w14:textId="26603BCA"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tc>
      </w:tr>
      <w:tr w:rsidR="00B15AC8" w14:paraId="41D9A066" w14:textId="77777777" w:rsidTr="00B15AC8">
        <w:trPr>
          <w:trHeight w:val="642"/>
        </w:trPr>
        <w:tc>
          <w:tcPr>
            <w:tcW w:w="2379" w:type="dxa"/>
          </w:tcPr>
          <w:p w14:paraId="5C1D0CD3" w14:textId="5950C721"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76" w:type="dxa"/>
          </w:tcPr>
          <w:p w14:paraId="19C119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6181F23C" w14:textId="142CE7B0"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367D21E1" w14:textId="110702F0"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798982A9" w14:textId="783302EC"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p>
          <w:p w14:paraId="5136E41A"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5ACB25DE" w14:textId="77777777" w:rsidTr="00B15AC8">
        <w:trPr>
          <w:trHeight w:val="251"/>
        </w:trPr>
        <w:tc>
          <w:tcPr>
            <w:tcW w:w="2379" w:type="dxa"/>
          </w:tcPr>
          <w:p w14:paraId="54EB328F" w14:textId="4D13F1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76" w:type="dxa"/>
          </w:tcPr>
          <w:p w14:paraId="3965204D"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5DFF790E" w14:textId="20034B1B"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7F3C208F" w14:textId="5BE042A5" w:rsidR="00B15AC8" w:rsidRPr="009D2654"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B15AC8" w:rsidRPr="009D2654" w:rsidRDefault="00B15AC8"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B15AC8" w14:paraId="1F0813F5" w14:textId="77777777" w:rsidTr="00B15AC8">
        <w:trPr>
          <w:trHeight w:val="251"/>
        </w:trPr>
        <w:tc>
          <w:tcPr>
            <w:tcW w:w="2379" w:type="dxa"/>
          </w:tcPr>
          <w:p w14:paraId="3E78A837" w14:textId="5F75151D"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76" w:type="dxa"/>
          </w:tcPr>
          <w:p w14:paraId="2C32E38E"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5DA1568" w14:textId="77950D79"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0A73FEF1" w14:textId="3C8970C3"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tc>
      </w:tr>
      <w:tr w:rsidR="00B15AC8" w14:paraId="4965EDBB" w14:textId="77777777" w:rsidTr="00B15AC8">
        <w:trPr>
          <w:trHeight w:val="782"/>
        </w:trPr>
        <w:tc>
          <w:tcPr>
            <w:tcW w:w="2379" w:type="dxa"/>
          </w:tcPr>
          <w:p w14:paraId="78517F17" w14:textId="0C158485"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76" w:type="dxa"/>
          </w:tcPr>
          <w:p w14:paraId="24F818B1" w14:textId="7777777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276" w:type="dxa"/>
          </w:tcPr>
          <w:p w14:paraId="3D1AE13E" w14:textId="37507728"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B15AC8" w:rsidRPr="009D2654" w:rsidRDefault="00B15AC8"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154" w:type="dxa"/>
          </w:tcPr>
          <w:p w14:paraId="64FD853F" w14:textId="442807C0"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75FCD7E4" w14:textId="7018B8AA" w:rsidR="00B15AC8" w:rsidRPr="00B94733" w:rsidRDefault="00B15AC8"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44ECBEF1" w14:textId="52B4ABE3" w:rsidR="00B15AC8" w:rsidRPr="009D2654" w:rsidRDefault="00B15AC8" w:rsidP="00FB0DE8">
            <w:pPr>
              <w:suppressAutoHyphens/>
              <w:autoSpaceDE w:val="0"/>
              <w:autoSpaceDN w:val="0"/>
              <w:adjustRightInd w:val="0"/>
              <w:spacing w:line="192" w:lineRule="auto"/>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p>
        </w:tc>
      </w:tr>
    </w:tbl>
    <w:p w14:paraId="4818CC73" w14:textId="77777777" w:rsidR="00B15AC8" w:rsidRPr="00B15AC8" w:rsidRDefault="00B15AC8" w:rsidP="009C0A3A">
      <w:pPr>
        <w:suppressAutoHyphens/>
        <w:autoSpaceDE w:val="0"/>
        <w:autoSpaceDN w:val="0"/>
        <w:adjustRightInd w:val="0"/>
        <w:spacing w:line="10" w:lineRule="atLeast"/>
        <w:jc w:val="both"/>
        <w:rPr>
          <w:rFonts w:ascii="Montserrat Bold" w:hAnsi="Montserrat Bold" w:cs="Arial"/>
          <w:b/>
          <w:bCs/>
          <w:color w:val="000000"/>
          <w:sz w:val="12"/>
          <w:szCs w:val="12"/>
        </w:rPr>
      </w:pPr>
    </w:p>
    <w:p w14:paraId="33E33543" w14:textId="3EC9359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102D5B6F"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Expresan los conocimientos, destrezas, habilidades, actitudes y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2D3F292B"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Con</w:t>
      </w:r>
      <w:r w:rsidR="00684687">
        <w:rPr>
          <w:rFonts w:ascii="Montserrat" w:hAnsi="Montserrat" w:cs="Arial"/>
          <w:color w:val="000000"/>
          <w:sz w:val="16"/>
          <w:szCs w:val="16"/>
        </w:rPr>
        <w:t xml:space="preserve"> las competencias disciplinares </w:t>
      </w:r>
      <w:r w:rsidRPr="009D2654">
        <w:rPr>
          <w:rFonts w:ascii="Montserrat" w:hAnsi="Montserrat" w:cs="Arial"/>
          <w:color w:val="000000"/>
          <w:sz w:val="16"/>
          <w:szCs w:val="16"/>
        </w:rPr>
        <w:t xml:space="preserve">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w:t>
      </w:r>
      <w:r w:rsidR="00684687">
        <w:rPr>
          <w:rFonts w:ascii="Montserrat" w:hAnsi="Montserrat" w:cs="Arial"/>
          <w:color w:val="000000"/>
          <w:sz w:val="16"/>
          <w:szCs w:val="16"/>
        </w:rPr>
        <w:t>sde perspectivas distintas a la</w:t>
      </w:r>
      <w:r w:rsidR="008577BD" w:rsidRPr="009D2654">
        <w:rPr>
          <w:rFonts w:ascii="Montserrat" w:hAnsi="Montserrat" w:cs="Arial"/>
          <w:color w:val="000000"/>
          <w:sz w:val="16"/>
          <w:szCs w:val="16"/>
        </w:rPr>
        <w:t xml:space="preserve">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9B2D39">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0" w:right="616" w:bottom="567" w:left="567"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69647" w14:textId="77777777" w:rsidR="003D7218" w:rsidRDefault="003D7218" w:rsidP="00A40627">
      <w:r>
        <w:separator/>
      </w:r>
    </w:p>
  </w:endnote>
  <w:endnote w:type="continuationSeparator" w:id="0">
    <w:p w14:paraId="53199221" w14:textId="77777777" w:rsidR="003D7218" w:rsidRDefault="003D7218"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E7926" w14:textId="77777777" w:rsidR="0002419F" w:rsidRDefault="0002419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4B671" w14:textId="771168CE" w:rsidR="00411256" w:rsidRDefault="00411256">
    <w:pPr>
      <w:pStyle w:val="Piedepgina"/>
    </w:pPr>
    <w:r w:rsidRPr="009D2654">
      <w:rPr>
        <w:rFonts w:ascii="Montserrat Bold" w:hAnsi="Montserrat Bold" w:cs="Arial"/>
        <w:b/>
        <w:bCs/>
        <w:color w:val="000000"/>
        <w:sz w:val="18"/>
        <w:szCs w:val="18"/>
      </w:rPr>
      <w:t>Folio</w:t>
    </w:r>
    <w:r w:rsidRPr="00021DA0">
      <w:rPr>
        <w:rFonts w:ascii="Montserrat-regular" w:hAnsi="Montserrat-regular" w:cs="Arial"/>
        <w:color w:val="000000"/>
        <w:sz w:val="15"/>
        <w:szCs w:val="15"/>
      </w:rPr>
      <w:t xml:space="preserve"> </w:t>
    </w:r>
    <w:sdt>
      <w:sdtPr>
        <w:rPr>
          <w:rFonts w:ascii="Montserrat-regular" w:hAnsi="Montserrat-regular" w:cs="Arial"/>
          <w:color w:val="000000"/>
          <w:sz w:val="16"/>
          <w:szCs w:val="16"/>
        </w:rPr>
        <w:alias w:val="SepFolioDigital"/>
        <w:tag w:val="SepFolioDigital"/>
        <w:id w:val="-942449781"/>
        <w:placeholder>
          <w:docPart w:val="C8A10735FF0C4A54954D6820D88437E4"/>
        </w:placeholder>
      </w:sdtPr>
      <w:sdtEndPr/>
      <w:sdtContent>
        <w:proofErr w:type="spellStart"/>
        <w:r w:rsidRPr="00F25182">
          <w:rPr>
            <w:rFonts w:ascii="Montserrat-regular" w:hAnsi="Montserrat-regular" w:cs="Arial"/>
            <w:color w:val="000000"/>
            <w:sz w:val="16"/>
            <w:szCs w:val="16"/>
          </w:rPr>
          <w:t>SepFolioDigital</w:t>
        </w:r>
        <w:proofErr w:type="spellEnd"/>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68E25" w14:textId="77777777" w:rsidR="0002419F" w:rsidRDefault="0002419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5B229" w14:textId="77777777" w:rsidR="003D7218" w:rsidRDefault="003D7218" w:rsidP="00A40627">
      <w:r>
        <w:separator/>
      </w:r>
    </w:p>
  </w:footnote>
  <w:footnote w:type="continuationSeparator" w:id="0">
    <w:p w14:paraId="2F0ABC66" w14:textId="77777777" w:rsidR="003D7218" w:rsidRDefault="003D7218" w:rsidP="00A406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BEF2C" w14:textId="3D1F29F8" w:rsidR="00C172CA" w:rsidRDefault="003D7218">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2052"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2050"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EE529" w14:textId="146B0F8C" w:rsidR="00450F27" w:rsidRDefault="00415383" w:rsidP="00450F27">
    <w:pPr>
      <w:suppressAutoHyphens/>
      <w:autoSpaceDE w:val="0"/>
      <w:autoSpaceDN w:val="0"/>
      <w:adjustRightInd w:val="0"/>
      <w:spacing w:line="192" w:lineRule="auto"/>
      <w:jc w:val="center"/>
      <w:rPr>
        <w:rFonts w:ascii="GMX Bold" w:hAnsi="GMX Bold" w:cs="Montserrat"/>
        <w:b/>
        <w:bCs/>
        <w:color w:val="000000"/>
        <w:sz w:val="20"/>
        <w:szCs w:val="20"/>
        <w:lang w:val="es-ES"/>
      </w:rPr>
    </w:pPr>
    <w:r>
      <w:rPr>
        <w:rFonts w:ascii="GMX Bold" w:hAnsi="GMX Bold" w:cs="Montserrat"/>
        <w:b/>
        <w:bCs/>
        <w:noProof/>
        <w:color w:val="000000"/>
        <w:sz w:val="20"/>
        <w:szCs w:val="20"/>
        <w:lang w:val="es-ES" w:eastAsia="es-ES"/>
      </w:rPr>
      <w:drawing>
        <wp:inline distT="0" distB="0" distL="0" distR="0" wp14:anchorId="78F7E3DE" wp14:editId="0FC506E3">
          <wp:extent cx="3846576" cy="579120"/>
          <wp:effectExtent l="0" t="0" r="1905" b="0"/>
          <wp:docPr id="4" name="Imagen 4"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4E5DC62" w14:textId="6A401D49" w:rsidR="00450F27" w:rsidRPr="00D67B9E" w:rsidRDefault="003D7218">
    <w:pPr>
      <w:pStyle w:val="Encabezado"/>
      <w:rPr>
        <w:rFonts w:ascii="Montserrat SemiBold" w:hAnsi="Montserrat SemiBold"/>
        <w:sz w:val="10"/>
        <w:szCs w:val="10"/>
      </w:rPr>
    </w:pPr>
    <w:bookmarkStart w:id="0" w:name="_GoBack"/>
    <w:r>
      <w:rPr>
        <w:rFonts w:ascii="Montserrat-regular" w:hAnsi="Montserrat-regular"/>
        <w:noProof/>
      </w:rPr>
      <w:pict w14:anchorId="4B21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8" o:spid="_x0000_s2053" type="#_x0000_t75" style="position:absolute;margin-left:120.05pt;margin-top:110.8pt;width:312.55pt;height:312.55pt;z-index:-251655680;mso-position-horizontal-relative:margin;mso-position-vertical-relative:margin" o:allowincell="f">
          <v:imagedata r:id="rId2" o:title="escudo-Guanajuato-06"/>
          <w10:wrap anchorx="margin" anchory="margin"/>
        </v:shape>
      </w:pic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D2E5E" w14:textId="1386299A" w:rsidR="00591172" w:rsidRDefault="003D7218">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2051"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21DA0"/>
    <w:rsid w:val="0002419F"/>
    <w:rsid w:val="00037CC8"/>
    <w:rsid w:val="00047AE3"/>
    <w:rsid w:val="00063DF4"/>
    <w:rsid w:val="00076B2C"/>
    <w:rsid w:val="000878C1"/>
    <w:rsid w:val="00087953"/>
    <w:rsid w:val="000976E0"/>
    <w:rsid w:val="000B39C4"/>
    <w:rsid w:val="000C2A96"/>
    <w:rsid w:val="000C39B8"/>
    <w:rsid w:val="000C787E"/>
    <w:rsid w:val="000F5B47"/>
    <w:rsid w:val="00103F2C"/>
    <w:rsid w:val="0010443C"/>
    <w:rsid w:val="0011004D"/>
    <w:rsid w:val="0013206B"/>
    <w:rsid w:val="00134217"/>
    <w:rsid w:val="00146DC7"/>
    <w:rsid w:val="00162D43"/>
    <w:rsid w:val="001703FB"/>
    <w:rsid w:val="00170A79"/>
    <w:rsid w:val="001945EE"/>
    <w:rsid w:val="001A7A6B"/>
    <w:rsid w:val="001B4548"/>
    <w:rsid w:val="001B5D65"/>
    <w:rsid w:val="001D14CB"/>
    <w:rsid w:val="001D7B5F"/>
    <w:rsid w:val="001E3EF9"/>
    <w:rsid w:val="001F3417"/>
    <w:rsid w:val="00216ACD"/>
    <w:rsid w:val="0022343F"/>
    <w:rsid w:val="00225D01"/>
    <w:rsid w:val="00231237"/>
    <w:rsid w:val="002518E9"/>
    <w:rsid w:val="002527E2"/>
    <w:rsid w:val="002651AB"/>
    <w:rsid w:val="002D2582"/>
    <w:rsid w:val="002E08C8"/>
    <w:rsid w:val="002F132E"/>
    <w:rsid w:val="00313179"/>
    <w:rsid w:val="0031785C"/>
    <w:rsid w:val="003242AB"/>
    <w:rsid w:val="003606C8"/>
    <w:rsid w:val="00371123"/>
    <w:rsid w:val="00382DD3"/>
    <w:rsid w:val="00387791"/>
    <w:rsid w:val="003A0F32"/>
    <w:rsid w:val="003B5984"/>
    <w:rsid w:val="003D7218"/>
    <w:rsid w:val="003E4AF0"/>
    <w:rsid w:val="003F5EF0"/>
    <w:rsid w:val="003F62B0"/>
    <w:rsid w:val="0040382D"/>
    <w:rsid w:val="00411256"/>
    <w:rsid w:val="00415383"/>
    <w:rsid w:val="004345AF"/>
    <w:rsid w:val="00434A47"/>
    <w:rsid w:val="00440740"/>
    <w:rsid w:val="00450F27"/>
    <w:rsid w:val="004557FB"/>
    <w:rsid w:val="00473BBD"/>
    <w:rsid w:val="0048572B"/>
    <w:rsid w:val="0048713D"/>
    <w:rsid w:val="004A167C"/>
    <w:rsid w:val="004A3868"/>
    <w:rsid w:val="004A3B11"/>
    <w:rsid w:val="004A704D"/>
    <w:rsid w:val="004B2A59"/>
    <w:rsid w:val="004C1671"/>
    <w:rsid w:val="004C1E9F"/>
    <w:rsid w:val="004D1DDF"/>
    <w:rsid w:val="004D4A05"/>
    <w:rsid w:val="004F08C4"/>
    <w:rsid w:val="004F12F1"/>
    <w:rsid w:val="004F7F63"/>
    <w:rsid w:val="005042A6"/>
    <w:rsid w:val="00516464"/>
    <w:rsid w:val="005320B0"/>
    <w:rsid w:val="00537239"/>
    <w:rsid w:val="00565145"/>
    <w:rsid w:val="0056709C"/>
    <w:rsid w:val="00570741"/>
    <w:rsid w:val="00591172"/>
    <w:rsid w:val="005A3566"/>
    <w:rsid w:val="005A5158"/>
    <w:rsid w:val="005C5619"/>
    <w:rsid w:val="005C6677"/>
    <w:rsid w:val="005D48D6"/>
    <w:rsid w:val="005F7BB0"/>
    <w:rsid w:val="00610069"/>
    <w:rsid w:val="00635EC3"/>
    <w:rsid w:val="00660446"/>
    <w:rsid w:val="00663EC5"/>
    <w:rsid w:val="00666BFA"/>
    <w:rsid w:val="00684687"/>
    <w:rsid w:val="006966F1"/>
    <w:rsid w:val="006A7398"/>
    <w:rsid w:val="006B36B7"/>
    <w:rsid w:val="006B54C3"/>
    <w:rsid w:val="006B653B"/>
    <w:rsid w:val="006C00BE"/>
    <w:rsid w:val="006D46DA"/>
    <w:rsid w:val="006D5DD2"/>
    <w:rsid w:val="006E5D5B"/>
    <w:rsid w:val="006F0D86"/>
    <w:rsid w:val="006F66FC"/>
    <w:rsid w:val="0070679D"/>
    <w:rsid w:val="00713F16"/>
    <w:rsid w:val="00715AAD"/>
    <w:rsid w:val="0071722E"/>
    <w:rsid w:val="007176D7"/>
    <w:rsid w:val="00752375"/>
    <w:rsid w:val="00756A0F"/>
    <w:rsid w:val="0076402E"/>
    <w:rsid w:val="00765657"/>
    <w:rsid w:val="00770D93"/>
    <w:rsid w:val="0077227E"/>
    <w:rsid w:val="00772D0A"/>
    <w:rsid w:val="00776C3B"/>
    <w:rsid w:val="00792A06"/>
    <w:rsid w:val="0079678F"/>
    <w:rsid w:val="007A2CEA"/>
    <w:rsid w:val="007B39E8"/>
    <w:rsid w:val="007E4D41"/>
    <w:rsid w:val="0081631F"/>
    <w:rsid w:val="00835196"/>
    <w:rsid w:val="008577BD"/>
    <w:rsid w:val="0088547F"/>
    <w:rsid w:val="00893F8B"/>
    <w:rsid w:val="0089446E"/>
    <w:rsid w:val="008A1823"/>
    <w:rsid w:val="008C1A78"/>
    <w:rsid w:val="008D7D96"/>
    <w:rsid w:val="008E0236"/>
    <w:rsid w:val="00915E6B"/>
    <w:rsid w:val="00920E73"/>
    <w:rsid w:val="00941454"/>
    <w:rsid w:val="00971ABF"/>
    <w:rsid w:val="009731F2"/>
    <w:rsid w:val="00983796"/>
    <w:rsid w:val="00985EA6"/>
    <w:rsid w:val="009A479D"/>
    <w:rsid w:val="009A7742"/>
    <w:rsid w:val="009B2D39"/>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71FF1"/>
    <w:rsid w:val="00A81FEB"/>
    <w:rsid w:val="00AB66E6"/>
    <w:rsid w:val="00AC482E"/>
    <w:rsid w:val="00AE0F5E"/>
    <w:rsid w:val="00B00605"/>
    <w:rsid w:val="00B0455B"/>
    <w:rsid w:val="00B11B40"/>
    <w:rsid w:val="00B15AC8"/>
    <w:rsid w:val="00B319A1"/>
    <w:rsid w:val="00B40ED4"/>
    <w:rsid w:val="00B61BF0"/>
    <w:rsid w:val="00B76448"/>
    <w:rsid w:val="00B819B4"/>
    <w:rsid w:val="00B9010F"/>
    <w:rsid w:val="00B91D83"/>
    <w:rsid w:val="00B94733"/>
    <w:rsid w:val="00B96248"/>
    <w:rsid w:val="00BA69D6"/>
    <w:rsid w:val="00BB0F31"/>
    <w:rsid w:val="00BE011E"/>
    <w:rsid w:val="00BE2E60"/>
    <w:rsid w:val="00C172CA"/>
    <w:rsid w:val="00C31719"/>
    <w:rsid w:val="00C573B6"/>
    <w:rsid w:val="00C7193D"/>
    <w:rsid w:val="00C72E6A"/>
    <w:rsid w:val="00C82AF7"/>
    <w:rsid w:val="00CA174B"/>
    <w:rsid w:val="00CA57EA"/>
    <w:rsid w:val="00CB0D09"/>
    <w:rsid w:val="00CB42DC"/>
    <w:rsid w:val="00CC2A00"/>
    <w:rsid w:val="00CD3BD9"/>
    <w:rsid w:val="00CE0823"/>
    <w:rsid w:val="00CF2BE4"/>
    <w:rsid w:val="00CF68B9"/>
    <w:rsid w:val="00CF699F"/>
    <w:rsid w:val="00D00099"/>
    <w:rsid w:val="00D11725"/>
    <w:rsid w:val="00D2206E"/>
    <w:rsid w:val="00D25C33"/>
    <w:rsid w:val="00D36E4A"/>
    <w:rsid w:val="00D527A6"/>
    <w:rsid w:val="00D6159F"/>
    <w:rsid w:val="00D66971"/>
    <w:rsid w:val="00D67B9E"/>
    <w:rsid w:val="00D80D68"/>
    <w:rsid w:val="00D825E7"/>
    <w:rsid w:val="00D87086"/>
    <w:rsid w:val="00DB2DDA"/>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A4E39"/>
    <w:rsid w:val="00EA7E94"/>
    <w:rsid w:val="00EB5379"/>
    <w:rsid w:val="00EC32B8"/>
    <w:rsid w:val="00EC6666"/>
    <w:rsid w:val="00ED73C9"/>
    <w:rsid w:val="00EE2941"/>
    <w:rsid w:val="00EE3698"/>
    <w:rsid w:val="00EE3C5C"/>
    <w:rsid w:val="00EF513D"/>
    <w:rsid w:val="00F02BED"/>
    <w:rsid w:val="00F0601C"/>
    <w:rsid w:val="00F17698"/>
    <w:rsid w:val="00F25182"/>
    <w:rsid w:val="00F4290E"/>
    <w:rsid w:val="00F4324A"/>
    <w:rsid w:val="00F50481"/>
    <w:rsid w:val="00F6149E"/>
    <w:rsid w:val="00F84B6D"/>
    <w:rsid w:val="00F90CC0"/>
    <w:rsid w:val="00F97BAE"/>
    <w:rsid w:val="00FB0DE8"/>
    <w:rsid w:val="00FC340A"/>
    <w:rsid w:val="00FC3ABF"/>
    <w:rsid w:val="00FC4417"/>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16260"/>
    <w:rsid w:val="00047D7E"/>
    <w:rsid w:val="00072177"/>
    <w:rsid w:val="00096F12"/>
    <w:rsid w:val="000D42F8"/>
    <w:rsid w:val="0012423A"/>
    <w:rsid w:val="00212A6D"/>
    <w:rsid w:val="00244CD1"/>
    <w:rsid w:val="0024798C"/>
    <w:rsid w:val="00265DFE"/>
    <w:rsid w:val="002B26E2"/>
    <w:rsid w:val="002E06B3"/>
    <w:rsid w:val="002E1BF1"/>
    <w:rsid w:val="00321351"/>
    <w:rsid w:val="00360848"/>
    <w:rsid w:val="003942A1"/>
    <w:rsid w:val="00396FB8"/>
    <w:rsid w:val="003A1DA6"/>
    <w:rsid w:val="003E07BE"/>
    <w:rsid w:val="004018FD"/>
    <w:rsid w:val="004303FD"/>
    <w:rsid w:val="00440F14"/>
    <w:rsid w:val="00467A82"/>
    <w:rsid w:val="00492557"/>
    <w:rsid w:val="004958F2"/>
    <w:rsid w:val="00506EA4"/>
    <w:rsid w:val="005231FC"/>
    <w:rsid w:val="00530154"/>
    <w:rsid w:val="00580316"/>
    <w:rsid w:val="005919FB"/>
    <w:rsid w:val="005D08B3"/>
    <w:rsid w:val="005D0BE1"/>
    <w:rsid w:val="005E4545"/>
    <w:rsid w:val="005F6FAB"/>
    <w:rsid w:val="0065714D"/>
    <w:rsid w:val="0067389A"/>
    <w:rsid w:val="00690086"/>
    <w:rsid w:val="006E2506"/>
    <w:rsid w:val="007018C3"/>
    <w:rsid w:val="007A3966"/>
    <w:rsid w:val="00820D35"/>
    <w:rsid w:val="00824CC0"/>
    <w:rsid w:val="008C5E21"/>
    <w:rsid w:val="008D7AA8"/>
    <w:rsid w:val="00900552"/>
    <w:rsid w:val="0091577E"/>
    <w:rsid w:val="00927C16"/>
    <w:rsid w:val="00951B1B"/>
    <w:rsid w:val="009556FD"/>
    <w:rsid w:val="00987ED9"/>
    <w:rsid w:val="009C3861"/>
    <w:rsid w:val="00A33C08"/>
    <w:rsid w:val="00A65FE4"/>
    <w:rsid w:val="00A703AC"/>
    <w:rsid w:val="00A82042"/>
    <w:rsid w:val="00AC64F3"/>
    <w:rsid w:val="00AD01FC"/>
    <w:rsid w:val="00AF5543"/>
    <w:rsid w:val="00B10C1D"/>
    <w:rsid w:val="00B25993"/>
    <w:rsid w:val="00B302CD"/>
    <w:rsid w:val="00B33E56"/>
    <w:rsid w:val="00B5563B"/>
    <w:rsid w:val="00B9235A"/>
    <w:rsid w:val="00BB4953"/>
    <w:rsid w:val="00BD350F"/>
    <w:rsid w:val="00BD6B15"/>
    <w:rsid w:val="00C03D3A"/>
    <w:rsid w:val="00C209EB"/>
    <w:rsid w:val="00C2387D"/>
    <w:rsid w:val="00C255C9"/>
    <w:rsid w:val="00C90FC6"/>
    <w:rsid w:val="00CA0418"/>
    <w:rsid w:val="00CA302D"/>
    <w:rsid w:val="00CB3B2C"/>
    <w:rsid w:val="00CB722B"/>
    <w:rsid w:val="00D12D26"/>
    <w:rsid w:val="00D21647"/>
    <w:rsid w:val="00DB2D28"/>
    <w:rsid w:val="00DB428F"/>
    <w:rsid w:val="00DD15B5"/>
    <w:rsid w:val="00E35015"/>
    <w:rsid w:val="00E43C3E"/>
    <w:rsid w:val="00E635EC"/>
    <w:rsid w:val="00E841FF"/>
    <w:rsid w:val="00ED62FD"/>
    <w:rsid w:val="00F3427E"/>
    <w:rsid w:val="00F75D69"/>
    <w:rsid w:val="00FA1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24AFD9DE38FB422E85D4F4E8F3E28F4D">
    <w:name w:val="24AFD9DE38FB422E85D4F4E8F3E28F4D"/>
    <w:rsid w:val="00C255C9"/>
    <w:rPr>
      <w:lang w:val="es-MX" w:eastAsia="es-MX"/>
    </w:rPr>
  </w:style>
  <w:style w:type="paragraph" w:customStyle="1" w:styleId="14AD97378BCD4619B1A34A2A0F1C64EE">
    <w:name w:val="14AD97378BCD4619B1A34A2A0F1C64EE"/>
    <w:rsid w:val="00C255C9"/>
    <w:rPr>
      <w:lang w:val="es-MX" w:eastAsia="es-MX"/>
    </w:rPr>
  </w:style>
  <w:style w:type="paragraph" w:customStyle="1" w:styleId="12E7045B4BDD4A2FA143B3A6E2202A24">
    <w:name w:val="12E7045B4BDD4A2FA143B3A6E2202A24"/>
    <w:rsid w:val="00951B1B"/>
    <w:rPr>
      <w:lang w:val="es-MX" w:eastAsia="es-MX"/>
    </w:rPr>
  </w:style>
  <w:style w:type="paragraph" w:customStyle="1" w:styleId="7D12AC5A1C324FA18321FF11A9275768">
    <w:name w:val="7D12AC5A1C324FA18321FF11A9275768"/>
    <w:rsid w:val="00951B1B"/>
    <w:rPr>
      <w:lang w:val="es-MX" w:eastAsia="es-MX"/>
    </w:rPr>
  </w:style>
  <w:style w:type="paragraph" w:customStyle="1" w:styleId="CF54B15B850E4049892FFC2641D19923">
    <w:name w:val="CF54B15B850E4049892FFC2641D19923"/>
    <w:rsid w:val="00951B1B"/>
    <w:rPr>
      <w:lang w:val="es-MX" w:eastAsia="es-MX"/>
    </w:rPr>
  </w:style>
  <w:style w:type="paragraph" w:customStyle="1" w:styleId="9A8A336E9CA94C40BA811CE28D5ACF50">
    <w:name w:val="9A8A336E9CA94C40BA811CE28D5ACF50"/>
    <w:rsid w:val="00951B1B"/>
    <w:rPr>
      <w:lang w:val="es-MX" w:eastAsia="es-MX"/>
    </w:rPr>
  </w:style>
  <w:style w:type="paragraph" w:customStyle="1" w:styleId="65AE339073D141C58C1F90F4396986AC">
    <w:name w:val="65AE339073D141C58C1F90F4396986AC"/>
    <w:rsid w:val="00951B1B"/>
    <w:rPr>
      <w:lang w:val="es-MX" w:eastAsia="es-MX"/>
    </w:rPr>
  </w:style>
  <w:style w:type="paragraph" w:customStyle="1" w:styleId="6B99FD1568EE4D889534E3406D266E2A">
    <w:name w:val="6B99FD1568EE4D889534E3406D266E2A"/>
    <w:rsid w:val="00951B1B"/>
    <w:rPr>
      <w:lang w:val="es-MX" w:eastAsia="es-MX"/>
    </w:rPr>
  </w:style>
  <w:style w:type="paragraph" w:customStyle="1" w:styleId="4D2852E365B54F9B95A367A14550C70B">
    <w:name w:val="4D2852E365B54F9B95A367A14550C70B"/>
    <w:rsid w:val="00951B1B"/>
    <w:rPr>
      <w:lang w:val="es-MX" w:eastAsia="es-MX"/>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FBAC-7EF2-45B4-910D-C9C67FA7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Sergio Ramirez Rodriguez</cp:lastModifiedBy>
  <cp:revision>116</cp:revision>
  <dcterms:created xsi:type="dcterms:W3CDTF">2020-05-27T18:01:00Z</dcterms:created>
  <dcterms:modified xsi:type="dcterms:W3CDTF">2021-03-09T17:50:00Z</dcterms:modified>
</cp:coreProperties>
</file>