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49C5BD" w14:textId="0B3728F8" w:rsidR="00B55F7E" w:rsidRDefault="00B55F7E" w:rsidP="00B55F7E">
      <w:pPr>
        <w:spacing w:after="0" w:line="240" w:lineRule="auto"/>
        <w:rPr>
          <w:rFonts w:ascii="Times New Roman" w:hAnsi="Times New Roman" w:cs="Times New Roman"/>
          <w:sz w:val="24"/>
          <w:szCs w:val="24"/>
        </w:rPr>
      </w:pPr>
      <w:r>
        <w:rPr>
          <w:rFonts w:ascii="Times New Roman" w:hAnsi="Times New Roman" w:cs="Times New Roman"/>
          <w:sz w:val="24"/>
          <w:szCs w:val="24"/>
        </w:rPr>
        <w:t>Daniel Bachler</w:t>
      </w:r>
      <w:bookmarkStart w:id="0" w:name="_GoBack"/>
      <w:bookmarkEnd w:id="0"/>
    </w:p>
    <w:p w14:paraId="0333AC7F" w14:textId="77777777" w:rsidR="00B55F7E" w:rsidRDefault="00B55F7E" w:rsidP="00B55F7E">
      <w:pPr>
        <w:spacing w:after="0" w:line="240" w:lineRule="auto"/>
        <w:rPr>
          <w:rFonts w:ascii="Times New Roman" w:hAnsi="Times New Roman" w:cs="Times New Roman"/>
          <w:sz w:val="24"/>
          <w:szCs w:val="24"/>
        </w:rPr>
      </w:pPr>
      <w:r>
        <w:rPr>
          <w:rFonts w:ascii="Times New Roman" w:hAnsi="Times New Roman" w:cs="Times New Roman"/>
          <w:sz w:val="24"/>
          <w:szCs w:val="24"/>
        </w:rPr>
        <w:t>1/19/17</w:t>
      </w:r>
    </w:p>
    <w:p w14:paraId="706D2687" w14:textId="77777777" w:rsidR="00B55F7E" w:rsidRDefault="00B55F7E" w:rsidP="00B55F7E">
      <w:pPr>
        <w:spacing w:after="0" w:line="240" w:lineRule="auto"/>
        <w:rPr>
          <w:rFonts w:ascii="Times New Roman" w:hAnsi="Times New Roman" w:cs="Times New Roman"/>
          <w:sz w:val="24"/>
          <w:szCs w:val="24"/>
        </w:rPr>
      </w:pPr>
      <w:r>
        <w:rPr>
          <w:rFonts w:ascii="Times New Roman" w:hAnsi="Times New Roman" w:cs="Times New Roman"/>
          <w:sz w:val="24"/>
          <w:szCs w:val="24"/>
        </w:rPr>
        <w:t>WRIT101 TP#1</w:t>
      </w:r>
    </w:p>
    <w:p w14:paraId="266BF133" w14:textId="77777777" w:rsidR="00B55F7E" w:rsidRDefault="00B55F7E" w:rsidP="00B55F7E">
      <w:pPr>
        <w:spacing w:after="0" w:line="240" w:lineRule="auto"/>
        <w:rPr>
          <w:rFonts w:ascii="Times New Roman" w:hAnsi="Times New Roman" w:cs="Times New Roman"/>
          <w:sz w:val="24"/>
          <w:szCs w:val="24"/>
        </w:rPr>
      </w:pPr>
    </w:p>
    <w:p w14:paraId="1610E827" w14:textId="3FD6ECE7" w:rsidR="00B55F7E" w:rsidRPr="00B55F7E" w:rsidRDefault="00B55F7E" w:rsidP="00B55F7E">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F06D24">
        <w:rPr>
          <w:rFonts w:ascii="Times New Roman" w:hAnsi="Times New Roman" w:cs="Times New Roman"/>
          <w:sz w:val="24"/>
          <w:szCs w:val="24"/>
        </w:rPr>
        <w:t>The Grant-Davie piece brought up some very interesting points about how rhetorical situations work, despite being confusing.  The “idea” of rhetoric is simple enough, the connection of meaning to symbols.  While rhetorical situations are a sub category of rhetoric it only gets more confusing from there sadly, as the essay breaks down the meaning of all the different parts of rhetorical situations.</w:t>
      </w:r>
      <w:r w:rsidR="004A270A">
        <w:rPr>
          <w:rFonts w:ascii="Times New Roman" w:hAnsi="Times New Roman" w:cs="Times New Roman"/>
          <w:sz w:val="24"/>
          <w:szCs w:val="24"/>
        </w:rPr>
        <w:t xml:space="preserve"> </w:t>
      </w:r>
      <w:r w:rsidR="007664E1">
        <w:rPr>
          <w:rFonts w:ascii="Times New Roman" w:hAnsi="Times New Roman" w:cs="Times New Roman"/>
          <w:sz w:val="24"/>
          <w:szCs w:val="24"/>
        </w:rPr>
        <w:t>I found it interesting how the three parts all worked together to form the complex situations. The idea of exigence in a rhetorical situation still confuses me, however I think that I understand it enough to work with for now.</w:t>
      </w:r>
      <w:r w:rsidR="00EF511D">
        <w:rPr>
          <w:rFonts w:ascii="Times New Roman" w:hAnsi="Times New Roman" w:cs="Times New Roman"/>
          <w:sz w:val="24"/>
          <w:szCs w:val="24"/>
        </w:rPr>
        <w:t xml:space="preserve"> The weirdest part of a rhetorical situation to me is the audience.  The idea of an audience is simple, a group of people that </w:t>
      </w:r>
      <w:r w:rsidR="00187AEF">
        <w:rPr>
          <w:rFonts w:ascii="Times New Roman" w:hAnsi="Times New Roman" w:cs="Times New Roman"/>
          <w:sz w:val="24"/>
          <w:szCs w:val="24"/>
        </w:rPr>
        <w:t xml:space="preserve">observe an event.  However, in the context of a rhetorical situation, audience takes on a much larger meaning.  It could be one person having a conversation with another, or it could be a crowd of thousands at a concert.  It could be the author of a novel reading it to himself.  The least physically existent of the group, the kind of person the author pictures reading their book.  With all the forms that an audience can take in a rhetorical situation, it is the most changing of the three.  It can be so many different things, while exigence is simply why the situation exists and rhetors </w:t>
      </w:r>
      <w:r w:rsidR="001D0BF6">
        <w:rPr>
          <w:rFonts w:ascii="Times New Roman" w:hAnsi="Times New Roman" w:cs="Times New Roman"/>
          <w:sz w:val="24"/>
          <w:szCs w:val="24"/>
        </w:rPr>
        <w:t>we do not attempt to understand in depth because not even this complicated piece is willing to go to that depth</w:t>
      </w:r>
      <w:r w:rsidR="00EE427F">
        <w:rPr>
          <w:rFonts w:ascii="Times New Roman" w:hAnsi="Times New Roman" w:cs="Times New Roman"/>
          <w:sz w:val="24"/>
          <w:szCs w:val="24"/>
        </w:rPr>
        <w:t xml:space="preserve">. The essay ends with a series of statements that almost made me question my existence, mainly how even after being resolved a rhetorical situation can still exist.  Not in the sense of it happened it exists, but more in the sense that </w:t>
      </w:r>
      <w:r w:rsidR="00124C25">
        <w:rPr>
          <w:rFonts w:ascii="Times New Roman" w:hAnsi="Times New Roman" w:cs="Times New Roman"/>
          <w:sz w:val="24"/>
          <w:szCs w:val="24"/>
        </w:rPr>
        <w:t xml:space="preserve">it’s still happening. The two main ways for a rhetorical situation to end however are for either the discourse to be delivered, or for the exigence to be solved.  I think that exigence solved is the more correct idea, since despite having told someone what needs to be done to resolve the situation they may not do it </w:t>
      </w:r>
      <w:r w:rsidR="00124C25">
        <w:rPr>
          <w:rFonts w:ascii="Times New Roman" w:hAnsi="Times New Roman" w:cs="Times New Roman"/>
          <w:sz w:val="24"/>
          <w:szCs w:val="24"/>
        </w:rPr>
        <w:lastRenderedPageBreak/>
        <w:t xml:space="preserve">immediately.  By waiting for the exigence to be solved, you guarantee that the situation is resolved, and not just half solved. </w:t>
      </w:r>
    </w:p>
    <w:sectPr w:rsidR="00B55F7E" w:rsidRPr="00B55F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F7E"/>
    <w:rsid w:val="00124C25"/>
    <w:rsid w:val="00187AEF"/>
    <w:rsid w:val="001D0BF6"/>
    <w:rsid w:val="002723D5"/>
    <w:rsid w:val="00355150"/>
    <w:rsid w:val="004A270A"/>
    <w:rsid w:val="007664E1"/>
    <w:rsid w:val="00B55F7E"/>
    <w:rsid w:val="00E05AE5"/>
    <w:rsid w:val="00ED30E2"/>
    <w:rsid w:val="00EE427F"/>
    <w:rsid w:val="00EF511D"/>
    <w:rsid w:val="00F06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9E30"/>
  <w15:chartTrackingRefBased/>
  <w15:docId w15:val="{580B73CD-6651-44C3-93EB-2839F65A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9</cp:revision>
  <dcterms:created xsi:type="dcterms:W3CDTF">2017-01-20T03:56:00Z</dcterms:created>
  <dcterms:modified xsi:type="dcterms:W3CDTF">2017-01-20T19:43:00Z</dcterms:modified>
</cp:coreProperties>
</file>