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496"/>
        <w:gridCol w:w="1800"/>
      </w:tblGrid>
      <w:tr>
        <w:tc>
          <w:tcPr>
            <w:tcW w:type="dxa" w:w="5429"/>
            <w:shd w:fill="102A43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b/>
                <w:color w:val="65D3C3"/>
                <w:sz w:val="18"/>
              </w:rPr>
              <w:t>PROYECTO 1 · DEEP LEARNING</w:t>
            </w:r>
          </w:p>
          <w:p>
            <w:pPr>
              <w:spacing w:after="80"/>
            </w:pPr>
            <w:r>
              <w:rPr>
                <w:b/>
                <w:color w:val="F8FBFF"/>
                <w:sz w:val="50"/>
              </w:rPr>
              <w:t>Monitoreo transaccional</w:t>
            </w:r>
          </w:p>
          <w:p>
            <w:pPr>
              <w:spacing w:after="0"/>
            </w:pPr>
            <w:r>
              <w:rPr>
                <w:color w:val="DCEEF8"/>
                <w:sz w:val="24"/>
              </w:rPr>
              <w:t>Ficha técnica del repositorio · Versión 2</w:t>
            </w:r>
          </w:p>
        </w:tc>
        <w:tc>
          <w:tcPr>
            <w:tcW w:type="dxa" w:w="5429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repositorio_v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19"/>
        <w:gridCol w:w="3619"/>
        <w:gridCol w:w="3619"/>
      </w:tblGrid>
      <w:tr>
        <w:tc>
          <w:tcPr>
            <w:tcW w:type="dxa" w:w="3619"/>
            <w:tcMar>
              <w:top w:w="100" w:type="dxa"/>
              <w:start w:w="130" w:type="dxa"/>
              <w:bottom w:w="100" w:type="dxa"/>
              <w:end w:w="130" w:type="dxa"/>
            </w:tcMar>
            <w:shd w:fill="EDF5FB"/>
          </w:tcPr>
          <w:p>
            <w:pPr>
              <w:spacing w:after="0"/>
            </w:pPr>
            <w:r>
              <w:rPr>
                <w:b/>
                <w:color w:val="376F9E"/>
                <w:sz w:val="14"/>
              </w:rPr>
              <w:t>INSTITUCIÓN</w:t>
            </w:r>
          </w:p>
          <w:p>
            <w:pPr>
              <w:spacing w:after="0"/>
            </w:pPr>
            <w:r>
              <w:rPr>
                <w:color w:val="172033"/>
                <w:sz w:val="17"/>
              </w:rPr>
              <w:t>Universidad del Valle de Guatemala</w:t>
            </w:r>
          </w:p>
        </w:tc>
        <w:tc>
          <w:tcPr>
            <w:tcW w:type="dxa" w:w="3619"/>
            <w:tcMar>
              <w:top w:w="100" w:type="dxa"/>
              <w:start w:w="130" w:type="dxa"/>
              <w:bottom w:w="100" w:type="dxa"/>
              <w:end w:w="130" w:type="dxa"/>
            </w:tcMar>
            <w:shd w:fill="EDF5FB"/>
          </w:tcPr>
          <w:p>
            <w:pPr>
              <w:spacing w:after="0"/>
            </w:pPr>
            <w:r>
              <w:rPr>
                <w:b/>
                <w:color w:val="376F9E"/>
                <w:sz w:val="14"/>
              </w:rPr>
              <w:t>CURSO</w:t>
            </w:r>
          </w:p>
          <w:p>
            <w:pPr>
              <w:spacing w:after="0"/>
            </w:pPr>
            <w:r>
              <w:rPr>
                <w:color w:val="172033"/>
                <w:sz w:val="17"/>
              </w:rPr>
              <w:t>Deep Learning y Sistemas Inteligentes · Sec. 30</w:t>
            </w:r>
          </w:p>
        </w:tc>
        <w:tc>
          <w:tcPr>
            <w:tcW w:type="dxa" w:w="3619"/>
            <w:tcMar>
              <w:top w:w="100" w:type="dxa"/>
              <w:start w:w="130" w:type="dxa"/>
              <w:bottom w:w="100" w:type="dxa"/>
              <w:end w:w="130" w:type="dxa"/>
            </w:tcMar>
            <w:shd w:fill="EDF5FB"/>
          </w:tcPr>
          <w:p>
            <w:pPr>
              <w:spacing w:after="0"/>
            </w:pPr>
            <w:r>
              <w:rPr>
                <w:b/>
                <w:color w:val="376F9E"/>
                <w:sz w:val="14"/>
              </w:rPr>
              <w:t>DOCENTE</w:t>
            </w:r>
          </w:p>
          <w:p>
            <w:pPr>
              <w:spacing w:after="0"/>
            </w:pPr>
            <w:r>
              <w:rPr>
                <w:color w:val="172033"/>
                <w:sz w:val="17"/>
              </w:rPr>
              <w:t>Kevin Recinos</w:t>
            </w:r>
          </w:p>
        </w:tc>
      </w:tr>
      <w:tr>
        <w:tc>
          <w:tcPr>
            <w:tcW w:type="dxa" w:w="3619"/>
            <w:tcMar>
              <w:top w:w="100" w:type="dxa"/>
              <w:start w:w="130" w:type="dxa"/>
              <w:bottom w:w="100" w:type="dxa"/>
              <w:end w:w="130" w:type="dxa"/>
            </w:tcMar>
            <w:shd w:fill="EDF5FB"/>
          </w:tcPr>
          <w:p>
            <w:pPr>
              <w:spacing w:after="0"/>
            </w:pPr>
            <w:r>
              <w:rPr>
                <w:b/>
                <w:color w:val="376F9E"/>
                <w:sz w:val="14"/>
              </w:rPr>
              <w:t>INTEGRANTES</w:t>
            </w:r>
          </w:p>
          <w:p>
            <w:pPr>
              <w:spacing w:after="0"/>
            </w:pPr>
            <w:r>
              <w:rPr>
                <w:color w:val="172033"/>
                <w:sz w:val="17"/>
              </w:rPr>
              <w:t>Wilson A. Calderón A. · 22018</w:t>
            </w:r>
          </w:p>
        </w:tc>
        <w:tc>
          <w:tcPr>
            <w:tcW w:type="dxa" w:w="3619"/>
            <w:tcMar>
              <w:top w:w="100" w:type="dxa"/>
              <w:start w:w="130" w:type="dxa"/>
              <w:bottom w:w="100" w:type="dxa"/>
              <w:end w:w="130" w:type="dxa"/>
            </w:tcMar>
            <w:shd w:fill="EDF5FB"/>
          </w:tcPr>
          <w:p>
            <w:pPr>
              <w:spacing w:after="0"/>
            </w:pPr>
            <w:r>
              <w:rPr>
                <w:b/>
                <w:color w:val="376F9E"/>
                <w:sz w:val="14"/>
              </w:rPr>
              <w:t>INTEGRANTES</w:t>
            </w:r>
          </w:p>
          <w:p>
            <w:pPr>
              <w:spacing w:after="0"/>
            </w:pPr>
            <w:r>
              <w:rPr>
                <w:color w:val="172033"/>
                <w:sz w:val="17"/>
              </w:rPr>
              <w:t>Pablo D. Barillas M. · 22193</w:t>
            </w:r>
          </w:p>
        </w:tc>
        <w:tc>
          <w:tcPr>
            <w:tcW w:type="dxa" w:w="3619"/>
            <w:tcMar>
              <w:top w:w="100" w:type="dxa"/>
              <w:start w:w="130" w:type="dxa"/>
              <w:bottom w:w="100" w:type="dxa"/>
              <w:end w:w="130" w:type="dxa"/>
            </w:tcMar>
            <w:shd w:fill="EDF5FB"/>
          </w:tcPr>
          <w:p>
            <w:pPr>
              <w:spacing w:after="0"/>
            </w:pPr>
            <w:r>
              <w:rPr>
                <w:b/>
                <w:color w:val="376F9E"/>
                <w:sz w:val="14"/>
              </w:rPr>
              <w:t>REPOSITORIO</w:t>
            </w:r>
          </w:p>
          <w:p>
            <w:pPr>
              <w:spacing w:after="0"/>
            </w:pPr>
            <w:r>
              <w:rPr>
                <w:color w:val="172033"/>
                <w:sz w:val="17"/>
              </w:rPr>
              <w:t>DanielBarillasM / Proyecto-1_Grupo-1_DLYSI_Sec-30</w:t>
            </w:r>
          </w:p>
        </w:tc>
      </w:tr>
    </w:tbl>
    <w:p>
      <w:pPr>
        <w:spacing w:before="140" w:after="60"/>
      </w:pPr>
      <w:r>
        <w:rPr>
          <w:b/>
          <w:color w:val="184E77"/>
          <w:sz w:val="20"/>
        </w:rPr>
        <w:t>RESUMEN EJECUTIVO</w:t>
      </w:r>
    </w:p>
    <w:p>
      <w:pPr>
        <w:spacing w:after="100"/>
      </w:pPr>
      <w:r>
        <w:t>IEEE-CIS: 590,540 transacciones y 3.50% de fraude. La V2 audita todas las variables, construye agregados causales y compara LightGBM, CatBoost y PCA mediante tres ventanas temporales. El 15% final es un benchmark histórico reutilizado, no test ciego.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14"/>
        <w:gridCol w:w="2714"/>
        <w:gridCol w:w="2714"/>
        <w:gridCol w:w="2714"/>
      </w:tblGrid>
      <w:tr>
        <w:tc>
          <w:tcPr>
            <w:tcW w:type="dxa" w:w="2714"/>
            <w:shd w:fill="184E77"/>
            <w:tcMar>
              <w:top w:w="8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8FBFF"/>
                <w:sz w:val="14"/>
              </w:rPr>
              <w:t>AUC-PR LIGHTGBM</w:t>
            </w:r>
          </w:p>
        </w:tc>
        <w:tc>
          <w:tcPr>
            <w:tcW w:type="dxa" w:w="2714"/>
            <w:shd w:fill="184E77"/>
            <w:tcMar>
              <w:top w:w="8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8FBFF"/>
                <w:sz w:val="14"/>
              </w:rPr>
              <w:t>RECALL LIGHTGBM</w:t>
            </w:r>
          </w:p>
        </w:tc>
        <w:tc>
          <w:tcPr>
            <w:tcW w:type="dxa" w:w="2714"/>
            <w:shd w:fill="184E77"/>
            <w:tcMar>
              <w:top w:w="8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8FBFF"/>
                <w:sz w:val="14"/>
              </w:rPr>
              <w:t>AUC-PR ENSAMBLE</w:t>
            </w:r>
          </w:p>
        </w:tc>
        <w:tc>
          <w:tcPr>
            <w:tcW w:type="dxa" w:w="2714"/>
            <w:shd w:fill="184E77"/>
            <w:tcMar>
              <w:top w:w="8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8FBFF"/>
                <w:sz w:val="14"/>
              </w:rPr>
              <w:t>COSTO ENSAMBLE</w:t>
            </w:r>
          </w:p>
        </w:tc>
      </w:tr>
      <w:tr>
        <w:tc>
          <w:tcPr>
            <w:tcW w:type="dxa" w:w="2714"/>
            <w:shd w:fill="EDF7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84E77"/>
                <w:sz w:val="30"/>
              </w:rPr>
              <w:t>0.454</w:t>
            </w:r>
          </w:p>
        </w:tc>
        <w:tc>
          <w:tcPr>
            <w:tcW w:type="dxa" w:w="2714"/>
            <w:shd w:fill="EDF7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84E77"/>
                <w:sz w:val="30"/>
              </w:rPr>
              <w:t>70.3%</w:t>
            </w:r>
          </w:p>
        </w:tc>
        <w:tc>
          <w:tcPr>
            <w:tcW w:type="dxa" w:w="2714"/>
            <w:shd w:fill="EDF7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84E77"/>
                <w:sz w:val="30"/>
              </w:rPr>
              <w:t>0.438</w:t>
            </w:r>
          </w:p>
        </w:tc>
        <w:tc>
          <w:tcPr>
            <w:tcW w:type="dxa" w:w="2714"/>
            <w:shd w:fill="EDF7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84E77"/>
                <w:sz w:val="30"/>
              </w:rPr>
              <w:t>Q6,228,600</w:t>
            </w:r>
          </w:p>
        </w:tc>
      </w:tr>
    </w:tbl>
    <w:p>
      <w:pPr>
        <w:spacing w:before="140" w:after="60"/>
      </w:pPr>
      <w:r>
        <w:rPr>
          <w:b/>
          <w:color w:val="184E77"/>
          <w:sz w:val="20"/>
        </w:rPr>
        <w:t>CONTENIDO Y REPRODUCCIÓN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5429"/>
            <w:tcMar>
              <w:top w:w="100" w:type="dxa"/>
              <w:start w:w="130" w:type="dxa"/>
              <w:bottom w:w="100" w:type="dxa"/>
              <w:end w:w="130" w:type="dxa"/>
            </w:tcMar>
            <w:shd w:fill="F8FBFF"/>
          </w:tcPr>
          <w:p/>
          <w:p>
            <w:pPr>
              <w:pStyle w:val="ListBullet"/>
              <w:spacing w:after="40"/>
            </w:pPr>
            <w:r>
              <w:rPr>
                <w:sz w:val="16"/>
              </w:rPr>
              <w:t>V1 preservada y V2 separada en artefactos, código y figuras.</w:t>
            </w:r>
          </w:p>
          <w:p>
            <w:pPr>
              <w:pStyle w:val="ListBullet"/>
              <w:spacing w:after="40"/>
            </w:pPr>
            <w:r>
              <w:rPr>
                <w:sz w:val="16"/>
              </w:rPr>
              <w:t>Notebook ejecutable, informe LaTeX/PDF y presentación HTML de 8 diapositivas.</w:t>
            </w:r>
          </w:p>
          <w:p>
            <w:pPr>
              <w:pStyle w:val="ListBullet"/>
              <w:spacing w:after="40"/>
            </w:pPr>
            <w:r>
              <w:rPr>
                <w:sz w:val="16"/>
              </w:rPr>
              <w:t>Auditoría de correlación, información mutua, redundancia y PCA.</w:t>
            </w:r>
          </w:p>
        </w:tc>
        <w:tc>
          <w:tcPr>
            <w:tcW w:type="dxa" w:w="5429"/>
            <w:tcMar>
              <w:top w:w="100" w:type="dxa"/>
              <w:start w:w="130" w:type="dxa"/>
              <w:bottom w:w="100" w:type="dxa"/>
              <w:end w:w="130" w:type="dxa"/>
            </w:tcMar>
            <w:shd w:fill="F8FBFF"/>
          </w:tcPr>
          <w:p/>
          <w:p>
            <w:pPr>
              <w:pStyle w:val="ListBullet"/>
              <w:spacing w:after="40"/>
            </w:pPr>
            <w:r>
              <w:rPr>
                <w:sz w:val="16"/>
              </w:rPr>
              <w:t>Calibración, umbral económico, top-k, deriva, segmentos e intervalos.</w:t>
            </w:r>
          </w:p>
          <w:p>
            <w:pPr>
              <w:pStyle w:val="ListBullet"/>
              <w:spacing w:after="40"/>
            </w:pPr>
            <w:r>
              <w:rPr>
                <w:sz w:val="16"/>
              </w:rPr>
              <w:t>Dependencias exactas e instrucciones PowerShell en configuracion/v2.</w:t>
            </w:r>
          </w:p>
          <w:p>
            <w:pPr>
              <w:pStyle w:val="ListBullet"/>
              <w:spacing w:after="40"/>
            </w:pPr>
            <w:r>
              <w:rPr>
                <w:sz w:val="16"/>
              </w:rPr>
              <w:t>Fuente única: artefactos/v2/resultados_v2.json.</w:t>
            </w:r>
          </w:p>
        </w:tc>
      </w:tr>
    </w:tbl>
    <w:p>
      <w:pPr>
        <w:spacing w:before="120" w:after="40"/>
      </w:pPr>
      <w:r>
        <w:rPr>
          <w:b/>
          <w:color w:val="DA7623"/>
          <w:sz w:val="18"/>
        </w:rPr>
        <w:t>USO RESPONSABLE</w:t>
      </w:r>
    </w:p>
    <w:p>
      <w:pPr>
        <w:spacing w:after="40"/>
      </w:pPr>
      <w:r>
        <w:t>Prototipo académico para priorizar revisión humana. No debe bloquear operaciones ni atribuir culpabilidad. Requiere una cohorte nueva, privacidad, explicabilidad, seguridad, análisis de sesgo, costos reales y monitoreo antes de producción.</w:t>
      </w:r>
    </w:p>
    <w:p>
      <w:pPr>
        <w:jc w:val="center"/>
      </w:pPr>
      <w:r>
        <w:rPr>
          <w:b/>
          <w:color w:val="184E77"/>
          <w:sz w:val="18"/>
        </w:rPr>
        <w:t>https://github.com/DanielBarillasM/Proyecto-1_Grupo-1_DLYSI_Sec-30</w:t>
      </w:r>
    </w:p>
    <w:sectPr w:rsidR="00FC693F" w:rsidRPr="0006063C" w:rsidSect="00034616">
      <w:pgSz w:w="12240" w:h="15840"/>
      <w:pgMar w:top="547" w:right="691" w:bottom="547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20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