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31"/>
        <w:gridCol w:w="1701"/>
      </w:tblGrid>
      <w:tr>
        <w:tc>
          <w:tcPr>
            <w:tcW w:type="dxa" w:w="5301"/>
            <w:shd w:fill="102A43"/>
            <w:tcMar>
              <w:top w:w="175" w:type="dxa"/>
              <w:start w:w="210" w:type="dxa"/>
              <w:bottom w:w="170" w:type="dxa"/>
              <w:end w:w="210" w:type="dxa"/>
            </w:tcMar>
            <w:vAlign w:val="center"/>
          </w:tcPr>
          <w:p>
            <w:pPr>
              <w:spacing w:after="60"/>
            </w:pPr>
            <w:r>
              <w:rPr>
                <w:rFonts w:ascii="Aptos" w:hAnsi="Aptos"/>
                <w:b/>
                <w:color w:val="9FE3D8"/>
                <w:sz w:val="15"/>
              </w:rPr>
              <w:t>UNIVERSIDAD DEL VALLE DE GUATEMALA · GRUPO 1 · SECCIÓN 30</w:t>
            </w:r>
          </w:p>
          <w:p>
            <w:pPr>
              <w:spacing w:after="40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Ficha del repositorio</w:t>
            </w:r>
          </w:p>
          <w:p>
            <w:pPr>
              <w:spacing w:after="0"/>
            </w:pPr>
            <w:r>
              <w:rPr>
                <w:rFonts w:ascii="Aptos" w:hAnsi="Aptos"/>
                <w:color w:val="DCEEF8"/>
                <w:sz w:val="24"/>
              </w:rPr>
              <w:t>Proyecto 1 · Monitoreo transaccional</w:t>
            </w:r>
          </w:p>
        </w:tc>
        <w:tc>
          <w:tcPr>
            <w:tcW w:type="dxa" w:w="5301"/>
            <w:shd w:fill="102A43"/>
            <w:tcMar>
              <w:top w:w="175" w:type="dxa"/>
              <w:start w:w="210" w:type="dxa"/>
              <w:bottom w:w="170" w:type="dxa"/>
              <w:end w:w="21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repositor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3"/>
              </w:rPr>
              <w:t>ABRIR REPOSITORIO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50"/>
        <w:gridCol w:w="2650"/>
        <w:gridCol w:w="2650"/>
        <w:gridCol w:w="2650"/>
      </w:tblGrid>
      <w:tr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CURSO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Deep Learning y Sistemas Inteligentes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DOCENTE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Kevin Recinos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RUTA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B · Datos reales de Kaggle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CANDIDATO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Pieza A</w:t>
            </w:r>
          </w:p>
        </w:tc>
      </w:tr>
      <w:tr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INTEGRANTE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Wilson Alejandro Calderón Argueta · 22018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INTEGRANTE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Pablo Daniel Barillas Moreno · 22193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DATOS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590,540 transacciones</w:t>
            </w:r>
          </w:p>
        </w:tc>
        <w:tc>
          <w:tcPr>
            <w:tcW w:type="dxa" w:w="2650"/>
            <w:shd w:fill="EDF5F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/>
            <w:r>
              <w:rPr>
                <w:b/>
                <w:color w:val="184E77"/>
                <w:sz w:val="13"/>
              </w:rPr>
              <w:t>FRAUDE</w:t>
            </w:r>
          </w:p>
          <w:p>
            <w:pPr>
              <w:spacing w:after="0"/>
            </w:pPr>
            <w:r>
              <w:rPr>
                <w:color w:val="172033"/>
                <w:sz w:val="15"/>
              </w:rPr>
              <w:t>3.499%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2A9D8F"/>
          <w:sz w:val="16"/>
        </w:rPr>
        <w:t>PROPÓSITO Y DISEÑO EXPERIMENTAL</w:t>
      </w:r>
    </w:p>
    <w:p>
      <w:pPr>
        <w:spacing w:after="60"/>
      </w:pPr>
      <w:r>
        <w:t>El repositorio evalúa si el historial ordenado de transacciones aporta señal incremental frente a una representación agregada. Compara A: HistGradientBoosting sin orden, B: embeddings + GRU(32), y C: fusión GRU–agregados. La partición es cronológica 70/15/15; validación congela arquitectura y umbrales antes de abrir prueba.</w:t>
      </w:r>
    </w:p>
    <w:p>
      <w:pPr>
        <w:spacing w:before="100" w:after="60"/>
      </w:pPr>
      <w:r>
        <w:rPr>
          <w:rFonts w:ascii="Aptos" w:hAnsi="Aptos"/>
          <w:b/>
          <w:color w:val="2A9D8F"/>
          <w:sz w:val="16"/>
        </w:rPr>
        <w:t>RESULTADOS VERIFICABLES EN PRUEBA CRONOLÓGICA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Modelo</w:t>
            </w:r>
          </w:p>
        </w:tc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AUC-PR</w:t>
            </w:r>
          </w:p>
        </w:tc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Precisión</w:t>
            </w:r>
          </w:p>
        </w:tc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Recall</w:t>
            </w:r>
          </w:p>
        </w:tc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F1</w:t>
            </w:r>
          </w:p>
        </w:tc>
        <w:tc>
          <w:tcPr>
            <w:tcW w:type="dxa" w:w="1767"/>
            <w:shd w:fill="184E7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Costo</w:t>
            </w:r>
          </w:p>
        </w:tc>
      </w:tr>
      <w:tr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A</w:t>
            </w:r>
          </w:p>
        </w:tc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0.429</w:t>
            </w:r>
          </w:p>
        </w:tc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0.134</w:t>
            </w:r>
          </w:p>
        </w:tc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0.722</w:t>
            </w:r>
          </w:p>
        </w:tc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0.226</w:t>
            </w:r>
          </w:p>
        </w:tc>
        <w:tc>
          <w:tcPr>
            <w:tcW w:type="dxa" w:w="1767"/>
            <w:shd w:fill="DDF3EE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5"/>
              </w:rPr>
              <w:t>Q6,193,620</w:t>
            </w:r>
          </w:p>
        </w:tc>
      </w:tr>
      <w:tr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0.412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0.154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0.649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0.248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Q6,525,960</w:t>
            </w:r>
          </w:p>
        </w:tc>
      </w:tr>
      <w:tr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C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0.392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0.136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0.671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0.226</w:t>
            </w:r>
          </w:p>
        </w:tc>
        <w:tc>
          <w:tcPr>
            <w:tcW w:type="dxa" w:w="1767"/>
            <w:shd w:fill="F7FA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Q6,618,900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shd w:fill="DDF3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DECISIÓN · Conservar A. La permutación redujo AUC-PR solo 0.002, por debajo del criterio previo de 0.01; la evidencia no justifica todavía migrar a una arquitectura secuencial.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2A9D8F"/>
          <w:sz w:val="16"/>
        </w:rPr>
        <w:t>CONTENIDO Y REPRODUCCIÓN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1"/>
        <w:gridCol w:w="5301"/>
      </w:tblGrid>
      <w:tr>
        <w:tc>
          <w:tcPr>
            <w:tcW w:type="dxa" w:w="5159"/>
            <w:shd w:fill="F7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184E77"/>
                <w:sz w:val="14"/>
              </w:rPr>
            </w:r>
            <w:r>
              <w:rPr>
                <w:b/>
              </w:rPr>
              <w:t>ORGANIZACIÓN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entregables/</w:t>
            </w:r>
            <w:r>
              <w:rPr>
                <w:rFonts w:ascii="Aptos" w:hAnsi="Aptos"/>
                <w:color w:val="172033"/>
                <w:sz w:val="16"/>
              </w:rPr>
              <w:t>cuaderno, informe, presentación y ficha.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codigo/</w:t>
            </w:r>
            <w:r>
              <w:rPr>
                <w:rFonts w:ascii="Aptos" w:hAnsi="Aptos"/>
                <w:color w:val="172033"/>
                <w:sz w:val="16"/>
              </w:rPr>
              <w:t>pipeline, descarga, construcción y auditoría.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artefactos/</w:t>
            </w:r>
            <w:r>
              <w:rPr>
                <w:rFonts w:ascii="Aptos" w:hAnsi="Aptos"/>
                <w:color w:val="172033"/>
                <w:sz w:val="16"/>
              </w:rPr>
              <w:t>modelos, umbrales, esquema y métricas.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>evidencia/</w:t>
            </w:r>
            <w:r>
              <w:rPr>
                <w:rFonts w:ascii="Aptos" w:hAnsi="Aptos"/>
                <w:color w:val="172033"/>
                <w:sz w:val="16"/>
              </w:rPr>
              <w:t>figuras y recursos visuales reproducibles.</w:t>
            </w:r>
          </w:p>
        </w:tc>
        <w:tc>
          <w:tcPr>
            <w:tcW w:type="dxa" w:w="5159"/>
            <w:shd w:fill="F7FAFC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color w:val="184E77"/>
                <w:sz w:val="14"/>
              </w:rPr>
            </w:r>
            <w:r>
              <w:rPr>
                <w:b/>
              </w:rPr>
              <w:t>CONTROLES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 xml:space="preserve">Temporalidad: </w:t>
            </w:r>
            <w:r>
              <w:rPr>
                <w:rFonts w:ascii="Aptos" w:hAnsi="Aptos"/>
                <w:color w:val="172033"/>
                <w:sz w:val="16"/>
              </w:rPr>
              <w:t>test posterior y abierto una sola vez.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 xml:space="preserve">Falsificación: </w:t>
            </w:r>
            <w:r>
              <w:rPr>
                <w:rFonts w:ascii="Aptos" w:hAnsi="Aptos"/>
                <w:color w:val="172033"/>
                <w:sz w:val="16"/>
              </w:rPr>
              <w:t>cinco permutaciones + historial truncado.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 xml:space="preserve">Economía: </w:t>
            </w:r>
            <w:r>
              <w:rPr>
                <w:rFonts w:ascii="Aptos" w:hAnsi="Aptos"/>
                <w:color w:val="172033"/>
                <w:sz w:val="16"/>
              </w:rPr>
              <w:t>Q4,200 por FN y Q180 por FP.</w:t>
            </w:r>
          </w:p>
          <w:p>
            <w:pPr>
              <w:spacing w:after="40"/>
              <w:ind w:left="85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b/>
                <w:sz w:val="16"/>
              </w:rPr>
              <w:t xml:space="preserve">Seguridad: </w:t>
            </w:r>
            <w:r>
              <w:rPr>
                <w:rFonts w:ascii="Aptos" w:hAnsi="Aptos"/>
                <w:color w:val="172033"/>
                <w:sz w:val="16"/>
              </w:rPr>
              <w:t>datos y credenciales no se versionan.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2A9D8F"/>
          <w:sz w:val="16"/>
        </w:rPr>
        <w:t>TRAZABILIDAD, ALCANCE Y LÍMITES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4"/>
        <w:gridCol w:w="3534"/>
        <w:gridCol w:w="3534"/>
      </w:tblGrid>
      <w:tr>
        <w:tc>
          <w:tcPr>
            <w:tcW w:type="dxa" w:w="3534"/>
            <w:shd w:fill="2A9D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DATOS</w:t>
            </w:r>
          </w:p>
        </w:tc>
        <w:tc>
          <w:tcPr>
            <w:tcW w:type="dxa" w:w="3534"/>
            <w:shd w:fill="2A9D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3534"/>
            <w:shd w:fill="2A9D8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USO RESPONSABLE</w:t>
            </w:r>
          </w:p>
        </w:tc>
      </w:tr>
      <w:tr>
        <w:tc>
          <w:tcPr>
            <w:tcW w:type="dxa" w:w="353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IEEE-CIS · 182 días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70/15/15 cronológico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590,540 transacciones</w:t>
            </w:r>
          </w:p>
        </w:tc>
        <w:tc>
          <w:tcPr>
            <w:tcW w:type="dxa" w:w="353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A/B/C bajo protocolo común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5 permutaciones + recorte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Umbral económico validado</w:t>
            </w:r>
          </w:p>
        </w:tc>
        <w:tc>
          <w:tcPr>
            <w:tcW w:type="dxa" w:w="3534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Identidad aproximada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Variables anonimizadas</w:t>
            </w:r>
          </w:p>
          <w:p>
            <w:pPr>
              <w:spacing w:after="20"/>
            </w:pPr>
            <w:r>
              <w:rPr>
                <w:b/>
                <w:color w:val="2A9D8F"/>
              </w:rPr>
              <w:t xml:space="preserve">• </w:t>
            </w:r>
            <w:r>
              <w:rPr>
                <w:rFonts w:ascii="Aptos" w:hAnsi="Aptos"/>
                <w:color w:val="172033"/>
                <w:sz w:val="15"/>
              </w:rPr>
              <w:t>Requiere piloto y monitoreo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02"/>
      </w:tblGrid>
      <w:tr>
        <w:tc>
          <w:tcPr>
            <w:tcW w:type="dxa" w:w="10602"/>
            <w:shd w:fill="FFF4E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033"/>
                <w:sz w:val="16"/>
              </w:rPr>
              <w:t>ALCANCE · Repositorio académico reproducible y base para un piloto controlado; no constituye un motor de autorización listo para producción.</w:t>
            </w:r>
          </w:p>
        </w:tc>
      </w:tr>
    </w:tbl>
    <w:p>
      <w:pPr>
        <w:spacing w:before="100" w:after="60"/>
      </w:pPr>
      <w:r>
        <w:rPr>
          <w:rFonts w:ascii="Aptos" w:hAnsi="Aptos"/>
          <w:b/>
          <w:color w:val="2A9D8F"/>
          <w:sz w:val="16"/>
        </w:rPr>
        <w:t>ACCESO AL REPOSITORIO</w:t>
      </w:r>
    </w:p>
    <w:p>
      <w:pPr>
        <w:spacing w:after="20"/>
        <w:jc w:val="center"/>
      </w:pPr>
      <w:hyperlink r:id="rId10">
        <w:r>
          <w:rPr>
            <w:color w:val="184E77"/>
            <w:u w:val="single"/>
          </w:rPr>
          <w:t>https://github.com/DanielBarillasM/Proyecto-1_Grupo-1_DLYSI_Sec-30</w:t>
        </w:r>
      </w:hyperlink>
    </w:p>
    <w:p>
      <w:pPr>
        <w:spacing w:after="0"/>
        <w:jc w:val="center"/>
      </w:pPr>
      <w:r>
        <w:rPr>
          <w:i/>
          <w:color w:val="596C7C"/>
          <w:sz w:val="14"/>
        </w:rPr>
        <w:t>El README contiene instrucciones completas de reproducción, estructura y limitaciones. La extrapolación económica es un escenario analítico, no una cifra contable del banco.</w:t>
      </w:r>
    </w:p>
    <w:sectPr w:rsidR="00FC693F" w:rsidRPr="0006063C" w:rsidSect="00034616">
      <w:footerReference w:type="default" r:id="rId11"/>
      <w:pgSz w:w="11906" w:h="16838"/>
      <w:pgMar w:top="595" w:right="652" w:bottom="595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C7C"/>
        <w:sz w:val="13"/>
      </w:rPr>
      <w:t>PROYECTO 1 · GRUPO 1 · SECCIÓN 30 · SEMESTRE II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720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DanielBarillasM/Proyecto-1_Grupo-1_DLYSI_Sec-30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del repositorio — Proyecto 1: Monitoreo transaccional</dc:title>
  <dc:subject>Deep Learning y Sistemas Inteligentes</dc:subject>
  <dc:creator>Wilson Alejandro Calderón Argueta; Pablo Daniel Barillas Moreno</dc:creator>
  <cp:keywords>IEEE-CIS, fraude, GRU, Deep Learning, monitoreo transaccional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