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spacing w:after="360"/>
        <w:jc w:val="center"/>
      </w:pPr>
      <w:r>
        <w:rPr>
          <w:rFonts w:ascii="Calibri" w:hAnsi="Calibri" w:eastAsia="Calibri"/>
          <w:b/>
          <w:color w:val="B98A2E"/>
          <w:sz w:val="22"/>
        </w:rPr>
        <w:t>UNIVERSIDAD DEL VALLE DE GUATEMALA</w:t>
      </w:r>
    </w:p>
    <w:p>
      <w:pPr>
        <w:spacing w:after="240"/>
        <w:jc w:val="center"/>
      </w:pPr>
      <w:r>
        <w:rPr>
          <w:rFonts w:ascii="Calibri" w:hAnsi="Calibri" w:eastAsia="Calibri"/>
          <w:b/>
          <w:color w:val="12355B"/>
          <w:sz w:val="54"/>
        </w:rPr>
        <w:t>Informe final de obtención</w:t>
        <w:br/>
        <w:t>y limpieza de datos</w:t>
      </w:r>
    </w:p>
    <w:p>
      <w:pPr>
        <w:spacing w:after="480"/>
        <w:jc w:val="center"/>
      </w:pPr>
      <w:r>
        <w:rPr>
          <w:rFonts w:ascii="Calibri" w:hAnsi="Calibri" w:eastAsia="Calibri"/>
          <w:color w:val="2E74B5"/>
          <w:sz w:val="30"/>
        </w:rPr>
        <w:t>Establecimientos educativos de Guatemala · Nivel Diversificado</w:t>
      </w:r>
    </w:p>
    <w:p>
      <w:pPr>
        <w:spacing w:after="600"/>
        <w:jc w:val="center"/>
      </w:pPr>
      <w:r>
        <w:rPr>
          <w:rFonts w:ascii="Calibri" w:hAnsi="Calibri" w:eastAsia="Calibri"/>
          <w:b/>
          <w:color w:val="5F6B76"/>
          <w:sz w:val="21"/>
        </w:rPr>
        <w:t>PROYECTO 1 · ENTREGA FINAL</w:t>
      </w:r>
    </w:p>
    <w:p>
      <w:pPr>
        <w:spacing w:after="120"/>
        <w:jc w:val="center"/>
      </w:pPr>
      <w:r>
        <w:rPr>
          <w:rFonts w:ascii="Calibri" w:hAnsi="Calibri" w:eastAsia="Calibri"/>
          <w:b/>
          <w:color w:val="12355B"/>
          <w:sz w:val="21"/>
        </w:rPr>
        <w:t>Integrantes</w:t>
      </w:r>
    </w:p>
    <w:p>
      <w:pPr>
        <w:spacing w:after="60"/>
        <w:jc w:val="center"/>
      </w:pPr>
      <w:r>
        <w:rPr>
          <w:rFonts w:ascii="Calibri" w:hAnsi="Calibri" w:eastAsia="Calibri"/>
          <w:color w:val="17202A"/>
          <w:sz w:val="21"/>
        </w:rPr>
        <w:t>ABBY SOFIA DONIS AGREDA — 22440</w:t>
      </w:r>
    </w:p>
    <w:p>
      <w:pPr>
        <w:spacing w:after="60"/>
        <w:jc w:val="center"/>
      </w:pPr>
      <w:r>
        <w:rPr>
          <w:rFonts w:ascii="Calibri" w:hAnsi="Calibri" w:eastAsia="Calibri"/>
          <w:color w:val="17202A"/>
          <w:sz w:val="21"/>
        </w:rPr>
        <w:t>PABLO DANIEL BARILLAS MORENO — 22193</w:t>
      </w:r>
    </w:p>
    <w:p>
      <w:pPr>
        <w:spacing w:after="60"/>
        <w:jc w:val="center"/>
      </w:pPr>
      <w:r>
        <w:rPr>
          <w:rFonts w:ascii="Calibri" w:hAnsi="Calibri" w:eastAsia="Calibri"/>
          <w:color w:val="17202A"/>
          <w:sz w:val="21"/>
        </w:rPr>
        <w:t>JORGE PALACIOS — 231385</w:t>
      </w:r>
    </w:p>
    <w:p>
      <w:pPr>
        <w:spacing w:after="60"/>
        <w:jc w:val="center"/>
      </w:pPr>
      <w:r>
        <w:rPr>
          <w:rFonts w:ascii="Calibri" w:hAnsi="Calibri" w:eastAsia="Calibri"/>
          <w:color w:val="17202A"/>
          <w:sz w:val="21"/>
        </w:rPr>
        <w:t>ROBERTO EMILIANO OTONIEL CAMPOSECO TORRES — 23968</w:t>
      </w:r>
    </w:p>
    <w:p>
      <w:pPr>
        <w:spacing w:before="440" w:after="60"/>
        <w:jc w:val="center"/>
      </w:pPr>
      <w:r>
        <w:rPr>
          <w:rFonts w:ascii="Calibri" w:hAnsi="Calibri" w:eastAsia="Calibri"/>
          <w:color w:val="5F6B76"/>
          <w:sz w:val="20"/>
        </w:rPr>
        <w:t>Curso: CC3066 – Data Science</w:t>
      </w:r>
    </w:p>
    <w:p>
      <w:pPr>
        <w:jc w:val="center"/>
      </w:pPr>
      <w:r>
        <w:rPr>
          <w:rFonts w:ascii="Calibri" w:hAnsi="Calibri" w:eastAsia="Calibri"/>
          <w:color w:val="5F6B76"/>
          <w:sz w:val="20"/>
        </w:rPr>
        <w:t>Fecha de entrega: 16 de julio de 2026</w:t>
      </w:r>
    </w:p>
    <w:p>
      <w:r>
        <w:br w:type="page"/>
      </w:r>
    </w:p>
    <w:p>
      <w:pPr>
        <w:pStyle w:val="Heading1"/>
        <w:keepNext/>
      </w:pPr>
      <w:r>
        <w:t>Resumen ejecutivo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Se construyó un flujo reproducible para diagnosticar, limpiar, integrar y documentar los datos de establecimientos educativos autorizados por el Ministerio de Educación de Guatemala en el nivel Diversificado. El archivo crudo consolidado contiene 11,603 registros y 17 variables. Todas las columnas se cargaron como texto para impedir pérdidas de ceros iniciales en códigos, distritos y teléfonos.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La ejecución conservó las 11,603 filas: CODIGO es único y no se detectaron duplicados exactos. La salida completa contiene 56 variables, incluidas columnas originales, versiones limpias, indicadores de ausencia, códigos nominales y trazabilidad. Los 17 controles definidos finalizaron satisfactoriamente.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W w:type="dxa" w:w="1872"/>
            <w:shd w:fill="EAF2F8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5F6B76"/>
                <w:sz w:val="16"/>
              </w:rPr>
              <w:t>Registros</w:t>
            </w:r>
          </w:p>
        </w:tc>
        <w:tc>
          <w:tcPr>
            <w:tcW w:type="dxa" w:w="1872"/>
            <w:shd w:fill="E8F5F2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5F6B76"/>
                <w:sz w:val="16"/>
              </w:rPr>
              <w:t>Crudas</w:t>
            </w:r>
          </w:p>
        </w:tc>
        <w:tc>
          <w:tcPr>
            <w:tcW w:type="dxa" w:w="1872"/>
            <w:shd w:fill="FFF4D6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5F6B76"/>
                <w:sz w:val="16"/>
              </w:rPr>
              <w:t>Finales</w:t>
            </w:r>
          </w:p>
        </w:tc>
        <w:tc>
          <w:tcPr>
            <w:tcW w:type="dxa" w:w="1872"/>
            <w:shd w:fill="F1ECFA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5F6B76"/>
                <w:sz w:val="16"/>
              </w:rPr>
              <w:t>Eliminadas</w:t>
            </w:r>
          </w:p>
        </w:tc>
        <w:tc>
          <w:tcPr>
            <w:tcW w:type="dxa" w:w="1872"/>
            <w:shd w:fill="FDEEE8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5F6B76"/>
                <w:sz w:val="16"/>
              </w:rPr>
              <w:t>Controles</w:t>
            </w:r>
          </w:p>
        </w:tc>
      </w:tr>
      <w:tr>
        <w:trPr/>
        <w:tc>
          <w:tcPr>
            <w:tcW w:type="dxa" w:w="1872"/>
            <w:shd w:fill="EAF2F8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30"/>
              </w:rPr>
              <w:t>11,603</w:t>
            </w:r>
          </w:p>
        </w:tc>
        <w:tc>
          <w:tcPr>
            <w:tcW w:type="dxa" w:w="1872"/>
            <w:shd w:fill="E8F5F2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30"/>
              </w:rPr>
              <w:t>17</w:t>
            </w:r>
          </w:p>
        </w:tc>
        <w:tc>
          <w:tcPr>
            <w:tcW w:type="dxa" w:w="1872"/>
            <w:shd w:fill="FFF4D6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30"/>
              </w:rPr>
              <w:t>56</w:t>
            </w:r>
          </w:p>
        </w:tc>
        <w:tc>
          <w:tcPr>
            <w:tcW w:type="dxa" w:w="1872"/>
            <w:shd w:fill="F1ECFA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30"/>
              </w:rPr>
              <w:t>0</w:t>
            </w:r>
          </w:p>
        </w:tc>
        <w:tc>
          <w:tcPr>
            <w:tcW w:type="dxa" w:w="1872"/>
            <w:shd w:fill="FDEEE8"/>
            <w:vAlign w:val="center"/>
            <w:tcBorders>
              <w:top w:val="single" w:sz="10" w:color="FFFFFF"/>
              <w:left w:val="single" w:sz="10" w:color="FFFFFF"/>
              <w:bottom w:val="single" w:sz="10" w:color="FFFFFF"/>
              <w:right w:val="single" w:sz="10" w:color="FFFFFF"/>
              <w:insideH w:val="single" w:sz="10" w:color="FFFFFF"/>
              <w:insideV w:val="single" w:sz="10" w:color="FFFFFF"/>
            </w:tcBorders>
            <w:tcMar>
              <w:top w:w="100" w:type="dxa"/>
              <w:bottom w:w="100" w:type="dxa"/>
              <w:start w:w="70" w:type="dxa"/>
              <w:end w:w="7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30"/>
              </w:rPr>
              <w:t>17/17</w:t>
            </w:r>
          </w:p>
        </w:tc>
      </w:tr>
    </w:tbl>
    <w:p>
      <w:pPr>
        <w:spacing w:after="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rPr/>
        <w:tc>
          <w:tcPr>
            <w:tcW w:type="dxa" w:w="9360"/>
            <w:shd w:fill="EAF2F8"/>
            <w:tcBorders>
              <w:top w:val="nil"/>
              <w:left w:val="single" w:sz="14" w:color="12355B"/>
              <w:bottom w:val="nil"/>
              <w:right w:val="nil"/>
              <w:insideH w:val="single" w:sz="14" w:color="12355B"/>
              <w:insideV w:val="single" w:sz="14" w:color="12355B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40" w:after="40" w:line="259" w:lineRule="auto"/>
            </w:pPr>
            <w:r/>
            <w:r>
              <w:rPr>
                <w:rFonts w:ascii="Calibri" w:hAnsi="Calibri" w:eastAsia="Calibri"/>
                <w:b/>
                <w:color w:val="12355B"/>
                <w:sz w:val="21"/>
              </w:rPr>
              <w:t xml:space="preserve">Decisión central: </w:t>
            </w:r>
            <w:r>
              <w:rPr>
                <w:rFonts w:ascii="Calibri" w:hAnsi="Calibri" w:eastAsia="Calibri"/>
                <w:color w:val="17202A"/>
                <w:sz w:val="21"/>
              </w:rPr>
              <w:t>No se sobreescriben nombres ni etiquetas originales. La presentación corregida se guarda en columnas *_LIMPIO y la fuente permanece en *_ORIGINAL. Las claves sin tildes se usan solo para comparación, nunca para redactar informes.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Contenido del informe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100"/>
        <w:gridCol w:w="8260"/>
      </w:tblGrid>
      <w:tr>
        <w:trPr>
          <w:cantSplit/>
          <w:tblHeader w:val="true"/>
        </w:trPr>
        <w:tc>
          <w:tcPr>
            <w:tcW w:type="dxa" w:w="11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Sección</w:t>
            </w:r>
          </w:p>
        </w:tc>
        <w:tc>
          <w:tcPr>
            <w:tcW w:type="dxa" w:w="82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Contenido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Correspondencia con los lineamientos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Fuente, alcance y unidad de observación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3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Arquitectura reproducible y archivos crudos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4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Diagnóstico del estado inicial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5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Plan ejecutado y reglas por variable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6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Resultados de la limpieza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7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Análisis descriptivo del conjunto final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8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Control de calidad y reproducibilidad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9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Libro de códigos y entregables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10</w:t>
            </w:r>
          </w:p>
        </w:tc>
        <w:tc>
          <w:tcPr>
            <w:tcW w:type="dxa" w:w="8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Limitaciones, conclusiones y referencias</w:t>
            </w:r>
          </w:p>
        </w:tc>
      </w:tr>
    </w:tbl>
    <w:p>
      <w:pPr>
        <w:spacing w:before="0" w:after="40"/>
      </w:pPr>
    </w:p>
    <w:p>
      <w:pPr>
        <w:pStyle w:val="Heading1"/>
        <w:keepNext/>
      </w:pPr>
      <w:r>
        <w:t>1. Correspondencia con los lineamientos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El trabajo se desarrolló con base en el documento “Proyecto 1. Obtención y Limpieza de datos” y en el buscador oficial del MINEDUC. La siguiente matriz muestra la evidencia concreta incluida en la entrega.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6100"/>
        <w:gridCol w:w="1360"/>
      </w:tblGrid>
      <w:tr>
        <w:trPr>
          <w:cantSplit/>
          <w:tblHeader w:val="true"/>
        </w:trPr>
        <w:tc>
          <w:tcPr>
            <w:tcW w:type="dxa" w:w="19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Criterio</w:t>
            </w:r>
          </w:p>
        </w:tc>
        <w:tc>
          <w:tcPr>
            <w:tcW w:type="dxa" w:w="61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Evidencia</w:t>
            </w:r>
          </w:p>
        </w:tc>
        <w:tc>
          <w:tcPr>
            <w:tcW w:type="dxa" w:w="13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Carga correcta</w:t>
            </w:r>
          </w:p>
        </w:tc>
        <w:tc>
          <w:tcPr>
            <w:tcW w:type="dxa" w:w="6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Notebook ejecutado; carga string; validación de 11,603 × 17 y esquema esperado.</w:t>
            </w:r>
          </w:p>
        </w:tc>
        <w:tc>
          <w:tcPr>
            <w:tcW w:type="dxa" w:w="13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Análisis crudo</w:t>
            </w:r>
          </w:p>
        </w:tc>
        <w:tc>
          <w:tcPr>
            <w:tcW w:type="dxa" w:w="6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Perfil por variable: tipo, únicos, faltantes técnicos/semánticos, porcentaje, dominios, formatos y duplicados.</w:t>
            </w:r>
          </w:p>
        </w:tc>
        <w:tc>
          <w:tcPr>
            <w:tcW w:type="dxa" w:w="13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Limpieza y explicación</w:t>
            </w:r>
          </w:p>
        </w:tc>
        <w:tc>
          <w:tcPr>
            <w:tcW w:type="dxa" w:w="6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12 reglas resumidas, bitácora por cambio, originales preservados, razones, riesgos y 17 pruebas.</w:t>
            </w:r>
          </w:p>
        </w:tc>
        <w:tc>
          <w:tcPr>
            <w:tcW w:type="dxa" w:w="13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Libro de códigos</w:t>
            </w:r>
          </w:p>
        </w:tc>
        <w:tc>
          <w:tcPr>
            <w:tcW w:type="dxa" w:w="6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Documento PDF/DOCX y hojas Excel con 56 variables, dominios, null, regla y ejemplo.</w:t>
            </w:r>
          </w:p>
        </w:tc>
        <w:tc>
          <w:tcPr>
            <w:tcW w:type="dxa" w:w="13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Cumplido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Conjunto limpio</w:t>
            </w:r>
          </w:p>
        </w:tc>
        <w:tc>
          <w:tcPr>
            <w:tcW w:type="dxa" w:w="61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CSV nacional completo de 11,603 filas y 56 columnas; versión analítica de 39 columnas.</w:t>
            </w:r>
          </w:p>
        </w:tc>
        <w:tc>
          <w:tcPr>
            <w:tcW w:type="dxa" w:w="13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Cumplido</w:t>
            </w:r>
          </w:p>
        </w:tc>
      </w:tr>
    </w:tbl>
    <w:p>
      <w:pPr>
        <w:spacing w:before="0" w:after="40"/>
      </w:pPr>
    </w:p>
    <w:p>
      <w:pPr>
        <w:pStyle w:val="Heading1"/>
        <w:keepNext/>
      </w:pPr>
      <w:r>
        <w:t>2. Fuente, alcance y unidad de observación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 xml:space="preserve">La fuente declarada es el buscador oficial de establecimientos educativos del Ministerio de Educación de Guatemala: </w:t>
      </w:r>
      <w:hyperlink r:id="rId11">
        <w:r>
          <w:rPr>
            <w:color w:val="2E74B5"/>
            <w:u w:val="single"/>
          </w:rPr>
          <w:t>http://www.mineduc.gob.gt/BUSCAESTABLECIMIENTO_GE/</w:t>
        </w:r>
      </w:hyperlink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El filtro de interés es Nivel Escolar = Diversificado. La unidad de observación es el código de servicio educativo autorizado; por ello, dos filas con nombres parecidos no necesariamente describen el mismo servicio. CODIGO se utiliza como llave y no el nombre del establecimiento.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rPr/>
        <w:tc>
          <w:tcPr>
            <w:tcW w:type="dxa" w:w="9360"/>
            <w:shd w:fill="FFF7E6"/>
            <w:tcBorders>
              <w:top w:val="nil"/>
              <w:left w:val="single" w:sz="14" w:color="B98A2E"/>
              <w:bottom w:val="nil"/>
              <w:right w:val="nil"/>
              <w:insideH w:val="single" w:sz="14" w:color="B98A2E"/>
              <w:insideV w:val="single" w:sz="14" w:color="B98A2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40" w:after="40" w:line="259" w:lineRule="auto"/>
            </w:pPr>
            <w:r/>
            <w:r>
              <w:rPr>
                <w:rFonts w:ascii="Calibri" w:hAnsi="Calibri" w:eastAsia="Calibri"/>
                <w:b/>
                <w:color w:val="B98A2E"/>
                <w:sz w:val="21"/>
              </w:rPr>
              <w:t xml:space="preserve">Ciudad Capital: </w:t>
            </w:r>
            <w:r>
              <w:rPr>
                <w:rFonts w:ascii="Calibri" w:hAnsi="Calibri" w:eastAsia="Calibri"/>
                <w:color w:val="17202A"/>
                <w:sz w:val="21"/>
              </w:rPr>
              <w:t>El portal presenta Ciudad Capital como origen separado de Guatemala. Se conservaron 23 categorías de origen y se derivó una vista de 22 departamentos, en la que los 2,161 registros de Ciudad Capital se agregan a Guatemala. Las zonas capitalinas se mantienen en columnas separadas.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3. Arquitectura reproducible y archivos crudos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El notebook ejecutado concentra la carga, el diagnóstico, las funciones de normalización, la aplicación de reglas, la generación de salidas y las verificaciones. Cada ejecución vuelve a crear los archivos de datos, resultados y documentación a partir del CSV crudo.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5F7FA"/>
            <w:tcBorders>
              <w:top w:val="nil"/>
              <w:left w:val="single" w:sz="8" w:color="CCD6DF"/>
              <w:bottom w:val="nil"/>
              <w:right w:val="nil"/>
              <w:insideH w:val="single" w:sz="8" w:color="CCD6DF"/>
              <w:insideV w:val="single" w:sz="8" w:color="CCD6DF"/>
            </w:tcBorders>
            <w:tcMar>
              <w:top w:w="90" w:type="dxa"/>
              <w:bottom w:w="90" w:type="dxa"/>
              <w:start w:w="150" w:type="dxa"/>
              <w:end w:w="150" w:type="dxa"/>
            </w:tcMar>
          </w:tcPr>
          <w:p>
            <w:pPr>
              <w:spacing w:before="80" w:after="80"/>
            </w:pPr>
            <w:r/>
            <w:r>
              <w:rPr>
                <w:rFonts w:ascii="Consolas" w:hAnsi="Consolas" w:eastAsia="Consolas"/>
                <w:color w:val="243447"/>
                <w:sz w:val="16"/>
              </w:rPr>
              <w:t>df_raw = pd.read_csv(RAW_PATH, dtype="string", keep_default_na=False)</w:t>
            </w:r>
            <w:r>
              <w:br/>
            </w:r>
            <w:r>
              <w:rPr>
                <w:rFonts w:ascii="Consolas" w:hAnsi="Consolas" w:eastAsia="Consolas"/>
                <w:color w:val="243447"/>
                <w:sz w:val="16"/>
              </w:rPr>
              <w:t>assert df_raw.shape == (11603, 17)</w:t>
            </w:r>
            <w:r>
              <w:br/>
            </w:r>
            <w:r>
              <w:rPr>
                <w:rFonts w:ascii="Consolas" w:hAnsi="Consolas" w:eastAsia="Consolas"/>
                <w:color w:val="243447"/>
                <w:sz w:val="16"/>
              </w:rPr>
              <w:t>assert df_raw["CODIGO"].nunique() == 11603</w:t>
            </w:r>
            <w:r>
              <w:br/>
            </w:r>
            <w:r>
              <w:rPr>
                <w:rFonts w:ascii="Consolas" w:hAnsi="Consolas" w:eastAsia="Consolas"/>
                <w:color w:val="243447"/>
                <w:sz w:val="16"/>
              </w:rPr>
              <w:t>assert int(df_raw.duplicated().sum()) == 0</w:t>
            </w:r>
          </w:p>
        </w:tc>
      </w:tr>
    </w:tbl>
    <w:p>
      <w:pPr>
        <w:spacing w:after="0"/>
      </w:pP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El archivo consolidado se particionó por las 23 categorías geográficas publicadas para facilitar la auditoría. Estas particiones son derivaciones del consolidado crudo y no se presentan como descargas independientes. La suma de sus filas es 11,603.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00"/>
        <w:gridCol w:w="1000"/>
        <w:gridCol w:w="5660"/>
      </w:tblGrid>
      <w:tr>
        <w:trPr>
          <w:cantSplit/>
          <w:tblHeader w:val="true"/>
        </w:trPr>
        <w:tc>
          <w:tcPr>
            <w:tcW w:type="dxa" w:w="27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Origen</w:t>
            </w:r>
          </w:p>
        </w:tc>
        <w:tc>
          <w:tcPr>
            <w:tcW w:type="dxa" w:w="10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Filas</w:t>
            </w:r>
          </w:p>
        </w:tc>
        <w:tc>
          <w:tcPr>
            <w:tcW w:type="dxa" w:w="56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Archivo crudo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ALTA VERAPAZ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475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datos_crudos_alta_verapaz.csv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BAJA VERAPAZ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171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datos_crudos_baja_verapaz.csv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CHIMALTENANGO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435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datos_crudos_chimaltenango.csv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CHIQUIMULA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239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datos_crudos_chiquimula.csv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CIUDAD CAPITAL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2,161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datos_crudos_ciudad_capital.csv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EL PROGRESO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158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datos_crudos_el_progreso.csv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ESCUINTLA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708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datos_crudos_escuintla.csv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GUATEMALA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1,644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datos_crudos_guatemala.csv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HUEHUETENANGO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591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datos_crudos_huehuetenango.csv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IZABAL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413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datos_crudos_izabal.csv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JALAPA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183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datos_crudos_jalapa.csv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JUTIAPA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392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datos_crudos_jutiapa.csv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PETEN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516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datos_crudos_peten.csv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QUETZALTENANGO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551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datos_crudos_quetzaltenango.csv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QUICHE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322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datos_crudos_quiche.csv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RETALHULEU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364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datos_crudos_retalhuleu.csv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SACATEPEQUEZ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430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datos_crudos_sacatepequez.csv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SAN MARCOS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724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datos_crudos_san_marcos.csv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SANTA ROSA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213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datos_crudos_santa_rosa.csv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SOLOLA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192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datos_crudos_solola.csv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SUCHITEPEQUEZ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437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datos_crudos_suchitepequez.csv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TOTONICAPAN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128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datos_crudos_totonicapan.csv</w:t>
            </w:r>
          </w:p>
        </w:tc>
      </w:tr>
      <w:tr>
        <w:trPr>
          <w:cantSplit/>
        </w:trPr>
        <w:tc>
          <w:tcPr>
            <w:tcW w:type="dxa" w:w="2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ZACAPA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156</w:t>
            </w:r>
          </w:p>
        </w:tc>
        <w:tc>
          <w:tcPr>
            <w:tcW w:type="dxa" w:w="56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datos_crudos_zacapa.csv</w:t>
            </w:r>
          </w:p>
        </w:tc>
      </w:tr>
    </w:tbl>
    <w:p>
      <w:pPr>
        <w:spacing w:before="0" w:after="40"/>
      </w:pPr>
    </w:p>
    <w:p>
      <w:pPr>
        <w:pStyle w:val="Heading1"/>
        <w:keepNext/>
      </w:pPr>
      <w:r>
        <w:t>4. Diagnóstico del estado inicial</w:t>
      </w:r>
    </w:p>
    <w:p>
      <w:pPr>
        <w:pStyle w:val="Heading2"/>
        <w:keepNext/>
      </w:pPr>
      <w:r>
        <w:t>4.1 Dimensiones, tipos y unicidad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El conjunto inicial tiene 11,603 filas y 17 variables. Las 17 se cargaron como string. Esta elección es semántica: CODIGO, DISTRITO y TELEFONO pueden contener dígitos, pero son identificadores y no magnitudes numéricas. Se encontraron 11,603 códigos únicos y 0 registros duplicados exactos.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300"/>
        <w:gridCol w:w="1450"/>
        <w:gridCol w:w="2000"/>
        <w:gridCol w:w="3610"/>
      </w:tblGrid>
      <w:tr>
        <w:trPr>
          <w:cantSplit/>
          <w:tblHeader w:val="true"/>
        </w:trPr>
        <w:tc>
          <w:tcPr>
            <w:tcW w:type="dxa" w:w="23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Variable</w:t>
            </w:r>
          </w:p>
        </w:tc>
        <w:tc>
          <w:tcPr>
            <w:tcW w:type="dxa" w:w="145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Tipo</w:t>
            </w:r>
          </w:p>
        </w:tc>
        <w:tc>
          <w:tcPr>
            <w:tcW w:type="dxa" w:w="20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Valores únicos</w:t>
            </w:r>
          </w:p>
        </w:tc>
        <w:tc>
          <w:tcPr>
            <w:tcW w:type="dxa" w:w="361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Faltantes analíticos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CODIGO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11,603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 (0.00%)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DISTRITO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1,667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522 (4.50%)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DEPARTAMENTO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23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 (0.00%)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MUNICIPIO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350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 (0.00%)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ESTABLECIMIENTO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6,170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 (0.04%)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DIRECCION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7,260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87 (0.75%)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TELEFONO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6,429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933 (8.04%)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SUPERVISOR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1,268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525 (4.52%)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DIRECTOR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5,397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2,106 (18.15%)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NIVEL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 (0.00%)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SECTOR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4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 (0.00%)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AREA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3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3 (0.03%)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STATUS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 (0.00%)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MODALIDAD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 (0.00%)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JORNADA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6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1,072 (9.24%)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PLAN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13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 (0.00%)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DEPARTAMENTAL</w:t>
            </w:r>
          </w:p>
        </w:tc>
        <w:tc>
          <w:tcPr>
            <w:tcW w:type="dxa" w:w="14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string</w:t>
            </w:r>
          </w:p>
        </w:tc>
        <w:tc>
          <w:tcPr>
            <w:tcW w:type="dxa" w:w="2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26</w:t>
            </w:r>
          </w:p>
        </w:tc>
        <w:tc>
          <w:tcPr>
            <w:tcW w:type="dxa" w:w="36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 (0.00%)</w:t>
            </w:r>
          </w:p>
        </w:tc>
      </w:tr>
    </w:tbl>
    <w:p>
      <w:pPr>
        <w:spacing w:before="0" w:after="40"/>
      </w:pPr>
    </w:p>
    <w:p>
      <w:pPr>
        <w:pStyle w:val="Heading2"/>
        <w:keepNext/>
      </w:pPr>
      <w:r>
        <w:t>4.2 Valores faltantes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Se distinguieron faltantes técnicos y ausencias semánticas. Los primeros son celdas vacías o marcadores sin contenido; las segundas son rótulos como SIN JORNADA y SIN ESPECIFICAR. En las columnas analíticas estos rótulos se transforman a null, pero la causa se conserva mediante el valor original y un indicador *_INFORMADA.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260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ltantes_analitic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6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5F6B76"/>
          <w:sz w:val="17"/>
        </w:rPr>
        <w:t>Figura 1. Faltantes analíticos por campo, generados mediante código.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DIRECTOR registra 2,106 ausencias (18.15%), JORNADA 1,072 (9.24%), TELEFONO 933 (8.04%), SUPERVISOR 525 (4.52%), DISTRITO 522 vacíos técnicos, DIRECCION 87 y ESTABLECIMIENTO 5. Al validar el patrón del distrito se identificaron además 69 formatos incompletos; por ello DISTRITO_LIMPIO tiene 591 null.</w:t>
      </w:r>
    </w:p>
    <w:p>
      <w:pPr>
        <w:pStyle w:val="Heading2"/>
        <w:keepNext/>
      </w:pPr>
      <w:r>
        <w:t>4.3 Dominios, formatos e inconsistencias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900"/>
        <w:gridCol w:w="7460"/>
      </w:tblGrid>
      <w:tr>
        <w:trPr>
          <w:cantSplit/>
          <w:tblHeader w:val="true"/>
        </w:trPr>
        <w:tc>
          <w:tcPr>
            <w:tcW w:type="dxa" w:w="19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Grupo</w:t>
            </w:r>
          </w:p>
        </w:tc>
        <w:tc>
          <w:tcPr>
            <w:tcW w:type="dxa" w:w="74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Problema potencial identificado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Identificadores</w:t>
            </w:r>
          </w:p>
        </w:tc>
        <w:tc>
          <w:tcPr>
            <w:tcW w:type="dxa" w:w="7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CODIGO es íntegro y único; DISTRITO tiene vacíos e incompletos; TELEFONO contiene uno, varios o formatos históricos.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Geografía</w:t>
            </w:r>
          </w:p>
        </w:tc>
        <w:tc>
          <w:tcPr>
            <w:tcW w:type="dxa" w:w="7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23 orígenes porque Ciudad Capital está separada; el análisis departamental requiere una derivación de 22 categorías.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Texto</w:t>
            </w:r>
          </w:p>
        </w:tc>
        <w:tc>
          <w:tcPr>
            <w:tcW w:type="dxa" w:w="7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Mayúsculas sostenidas, espacios, signos, abreviaturas y tildes inconsistentes en nombres y direcciones.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Ausencias</w:t>
            </w:r>
          </w:p>
        </w:tc>
        <w:tc>
          <w:tcPr>
            <w:tcW w:type="dxa" w:w="7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SIN JORNADA y SIN ESPECIFICAR describen ausencia, no categorías analíticas reales.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Categorías</w:t>
            </w:r>
          </w:p>
        </w:tc>
        <w:tc>
          <w:tcPr>
            <w:tcW w:type="dxa" w:w="7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SECTOR, STATUS, MODALIDAD, AREA, JORNADA, PLAN y DEPARTAMENTAL requieren etiquetas legibles y códigos nominales estables.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Duplicados</w:t>
            </w:r>
          </w:p>
        </w:tc>
        <w:tc>
          <w:tcPr>
            <w:tcW w:type="dxa" w:w="7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0 duplicados exactos y 0 códigos repetidos; nombres parecidos no justifican eliminar servicios.</w:t>
            </w:r>
          </w:p>
        </w:tc>
      </w:tr>
    </w:tbl>
    <w:p>
      <w:pPr>
        <w:spacing w:before="0" w:after="40"/>
      </w:pPr>
    </w:p>
    <w:p>
      <w:pPr>
        <w:pStyle w:val="Heading1"/>
        <w:keepNext/>
      </w:pPr>
      <w:r>
        <w:t>5. Plan ejecutado y reglas por variable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Las reglas se aplicaron de forma conservadora. Unicode NFC, recorte de espacios y presentación ortográfica se ejecutaron en columnas derivadas. Las correcciones léxicas se limitaron a casos respaldados; las claves sin tildes no sustituyen el texto de presentación. A continuación se documentan problema, regla, razón, riesgo y control para cada variable cruda.</w:t>
      </w:r>
    </w:p>
    <w:p>
      <w:pPr>
        <w:pStyle w:val="Heading3"/>
        <w:keepNext/>
      </w:pPr>
      <w:r>
        <w:t>CODIGO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No presenta faltantes ni repeticiones; el riesgo principal es que el software lo convierta a número o fecha.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Cargar y exportar como texto; comprobar unicidad y patrón; conservarlo como llave del servicio.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Los guiones y ceros forman parte del identificador.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Conversión automática. Se evita fijando dtype='string' y validando la salida.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11,603 valores válidos y únicos; QC02 y QC03 aprobados.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DISTRITO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522 vacíos técnicos y 69 formatos incompletos; 1,667 valores distintos en la fuente.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Conservar DISTRITO_ORIGINAL; producir DISTRITO_LIMPIO solo si el formato está completo y clasificar la celda como Válido, Vacío o Incompleto.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No debe inventarse el fragmento faltante de un código administrativo.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Perder un prefijo parcial. Se mantiene original y estado para una revisión posterior.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591 null en DISTRITO_LIMPIO, exactamente los esperados; QC08 aprobado.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DEPARTAMENTO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La fuente tiene 23 orígenes porque Ciudad Capital se publica fuera de Guatemala.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etiqueta legible, conservar DEPARTAMENTO_ORIGINAL, derivar DEPARTAMENTO_ANALISIS de 22 categorías y agregar código territorial de dos dígitos.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Evita doble conteo y permite análisis nacional coherente sin perder procedencia.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Fusionar orígenes. La columna original y UBICACION_GRUPO mantienen la distinción.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23 orígenes, 22 departamentos analíticos y 2,161 filas capitalinas; QC05–QC07 aprobados.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MUNICIPIO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Combina municipios y zonas capitalinas; nombres en mayúsculas y tildes no uniformes.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MUNICIPIO_LIMPIO, TIPO_UBICACION, ES_CIUDAD_CAPITAL, ZONA_CAPITAL_COD y MUNICIPIO_COD_FUENTE.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Separa la semántica de zona y municipio y facilita agrupaciones posteriores.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Tratar una zona como municipio. El tipo de ubicación se conserva explícitamente.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Las 350 etiquetas crudas permanecen trazables; 22 zonas capitalinas identificadas.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ESTABLECIMIENTO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6,170 valores únicos, 5 vacíos, mayúsculas sostenidas, tildes y algunos errores evidentes.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Conservar el original; crear presentación española conservadora y una clave auxiliar sin tildes/puntuación solo para comparar candidatos. No deduplicar por similitud.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Los informes necesitan nombres legibles, pero los servicios se distinguen por CODIGO.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Corregir indebidamente un nombre propio. Solo se aplican reglas respaldadas y se guarda el original.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5 null; ninguna fila eliminada; R05 y QC09 documentan el resultado.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DIRECCION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7,260 valores únicos, 87 vacíos, abreviaturas, espacios y puntuación heterogéneos.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Normalizar espacios y puntuación de presentación; preservar abreviaturas plausibles; asignar null solo a vacío real o signos aislados.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Mejora la lectura sin inventar componentes geográficos.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Alterar una referencia válida. DIRECCION_ORIGINAL permanece disponible.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87 null en DIRECCION_LIMPIA; QC10 aprobado.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TELEFONO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933 vacíos; celdas con uno o varios números y 104 formatos no estándar.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Tratar como texto, normalizar candidatos de ocho dígitos, extraer TELEFONO_PRINCIPAL y clasificar TELEFONO_ESTADO.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Un teléfono no es una cantidad y no debe imputarse.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Inventar dígitos o descartar formatos históricos. El original y el estado conservan la evidencia.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10,444 válidos únicos, 122 múltiples, 104 no estándar y 933 vacíos.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SUPERVISOR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1,268 valores únicos y 525 ausencias; nombres en mayúsculas y tildes variables.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presentación conservadora; null solo para ausencia real; conservar original.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Permite lectura institucional sin afirmar identidad entre homónimos.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Sobrecorregir apellidos o fusionar personas. No se asignan identificadores personales.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525 null en SUPERVISOR_LIMPIO; QC12 aprobado.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DIRECTOR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5,397 valores únicos y 2,106 ausencias, incluidos marcadores como '--'.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Convertir marcadores vacíos a null en DIRECTOR_LIMPIO, crear estado y aplicar presentación conservadora.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Distingue ausencia de nombre informado.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Inferir una persona o alterar apellidos. Se preserva DIRECTOR_ORIGINAL.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2,106 null y estado explícito; QC13 aprobado.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NIVEL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Variable constante con una categoría: DIVERSIFICADO.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Normalizar la etiqueta a Diversificado y verificar que no aparezcan otros niveles.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Confirma el alcance definido por el filtro de extracción.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Ocultar una descarga mezclada. El control exige una sola categoría.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11,603 filas en Diversificado.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SECTOR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Cuatro categorías válidas, originalmente en mayúsculas.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SECTOR_LIMPIO y SECTOR_COD con catálogo nominal 1–4; conservar etiqueta original.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Los códigos estabilizan análisis y filtros sin reemplazar las etiquetas.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Interpretar los números como orden. El catálogo declara 'Código nominal'.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0 códigos faltantes; QC16 aprobado.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AREA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URBANA, RURAL y tres filas SIN ESPECIFICAR.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AREA_LIMPIA y AREA_COD; representar SIN ESPECIFICAR como null y AREA_INFORMADA=0; conservar original.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SIN ESPECIFICAR no es una tercera área real.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Perder la causa del null. El indicador y la columna original la preservan.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3 null en AREA_LIMPIA; QC14 aprobado.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STATUS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Cinco categorías administrativas legibles pero en mayúsculas.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STATUS_LIMPIO y STATUS_COD con catálogo nominal.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Facilita comparación y mantiene etiquetas aptas para informes.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Confundir código con jerarquía. Se documenta como nominal.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0 códigos faltantes; QC17 aprobado.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MODALIDAD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Dos categorías; requiere presentación ortográfica con diéresis y tilde.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MODALIDAD_LIMPIA y MODALIDAD_COD; conservar original.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Evita variantes de escritura en resultados.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Eliminar diacríticos. Las etiquetas finales son Monolingüe y Bilingüe.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11,130 monolingües y 473 bilingües; catálogo completo.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JORNADA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Seis valores crudos; 1,072 filas dicen SIN JORNADA.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JORNADA_LIMPIA y código; transformar SIN JORNADA a null, marcar JORNADA_INFORMADA=0 y conservar original.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Una ausencia no debe competir con jornadas reales.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Perder la razón del null. Original e indicador permanecen.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1,072 null en JORNADA_LIMPIA; QC15 aprobado.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PLAN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Trece categorías con paréntesis, acentos y capitalización heterogénea.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PLAN_LIMPIO y PLAN_COD mediante catálogo nominal; conservar original.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Evita divergencias posteriores en filtros y tablas.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Asignar un orden inexistente. El código es estrictamente nominal.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13 categorías documentadas y sin códigos faltantes.</w:t>
            </w:r>
          </w:p>
        </w:tc>
      </w:tr>
    </w:tbl>
    <w:p>
      <w:pPr>
        <w:spacing w:before="0" w:after="40"/>
      </w:pPr>
    </w:p>
    <w:p>
      <w:pPr>
        <w:pStyle w:val="Heading3"/>
        <w:keepNext/>
      </w:pPr>
      <w:r>
        <w:t>DEPARTAMENTAL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050"/>
        <w:gridCol w:w="7310"/>
      </w:tblGrid>
      <w:tr>
        <w:trPr>
          <w:cantSplit/>
          <w:tblHeader w:val="true"/>
        </w:trPr>
        <w:tc>
          <w:tcPr>
            <w:tcW w:type="dxa" w:w="205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Elemento</w:t>
            </w:r>
          </w:p>
        </w:tc>
        <w:tc>
          <w:tcPr>
            <w:tcW w:type="dxa" w:w="7310"/>
            <w:shd w:fill="EAF2F8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Detalle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Problemas encontrados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26 denominaciones administrativas; texto en mayúsculas.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Regla ejecutada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Crear DEPARTAMENTAL_LIMPIO y código nominal con catálogo; conservar original.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Justificación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Permite agrupar oficinas sin perder su rótulo institucional.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Riesgo y mitigación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Confundir oficina administrativa con departamento geográfico. Ambas variables permanecen separadas.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Control / evidencia</w:t>
            </w:r>
          </w:p>
        </w:tc>
        <w:tc>
          <w:tcPr>
            <w:tcW w:type="dxa" w:w="73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26 etiquetas documentadas y códigos completos.</w:t>
            </w:r>
          </w:p>
        </w:tc>
      </w:tr>
    </w:tbl>
    <w:p>
      <w:pPr>
        <w:spacing w:before="0" w:after="40"/>
      </w:pPr>
    </w:p>
    <w:p>
      <w:pPr>
        <w:pStyle w:val="Heading2"/>
        <w:keepNext/>
      </w:pPr>
      <w:r>
        <w:t>5.1 Resumen de reglas y filas afectadas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700"/>
        <w:gridCol w:w="1800"/>
        <w:gridCol w:w="5460"/>
        <w:gridCol w:w="1400"/>
      </w:tblGrid>
      <w:tr>
        <w:trPr>
          <w:cantSplit/>
          <w:tblHeader w:val="true"/>
        </w:trPr>
        <w:tc>
          <w:tcPr>
            <w:tcW w:type="dxa" w:w="7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5"/>
              </w:rPr>
              <w:t>ID</w:t>
            </w:r>
          </w:p>
        </w:tc>
        <w:tc>
          <w:tcPr>
            <w:tcW w:type="dxa" w:w="18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5"/>
              </w:rPr>
              <w:t>Variables</w:t>
            </w:r>
          </w:p>
        </w:tc>
        <w:tc>
          <w:tcPr>
            <w:tcW w:type="dxa" w:w="54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5"/>
              </w:rPr>
              <w:t>Acción</w:t>
            </w:r>
          </w:p>
        </w:tc>
        <w:tc>
          <w:tcPr>
            <w:tcW w:type="dxa" w:w="14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5"/>
              </w:rPr>
              <w:t>Filas afectadas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R01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Todas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Carga como texto y conservación del esquema crudo.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11,603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R02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Campos textuales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Unicode NFC, trim, espacios y puntuación.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64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R03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DISTRITO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Null para vacíos o formatos incompletos; estado separado.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591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R04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DEPARTAMENTO/MUNICIPIO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Etiquetas legibles y geografía de 23 orígenes / 22 departamentos.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11,603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R05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ESTABLECIMIENTO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Capitalización española, tildes respaldadas y clave auxiliar.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11,591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R06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DIRECCION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Normalización conservadora; null solo en vacíos o puntuación aislada.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11,599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R07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TELEFONO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Texto normalizado, extracción de candidatos y estado.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11,504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R08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SUPERVISOR/DIRECTOR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Null para ausencias y presentación conservadora.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2,631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R09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AREA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SIN ESPECIFICAR a null en AREA_LIMPIA; indicador y original.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3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R10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JORNADA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SIN JORNADA a null en JORNADA_LIMPIA; indicador y original.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1,072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R11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Categorías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Códigos nominales estables en columnas nuevas.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11,603</w:t>
            </w:r>
          </w:p>
        </w:tc>
      </w:tr>
      <w:tr>
        <w:trPr>
          <w:cantSplit/>
        </w:trPr>
        <w:tc>
          <w:tcPr>
            <w:tcW w:type="dxa" w:w="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R12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Duplicados</w:t>
            </w:r>
          </w:p>
        </w:tc>
        <w:tc>
          <w:tcPr>
            <w:tcW w:type="dxa" w:w="54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No eliminar filas: CODIGO es único y no hay duplicados exactos.</w:t>
            </w:r>
          </w:p>
        </w:tc>
        <w:tc>
          <w:tcPr>
            <w:tcW w:type="dxa" w:w="14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5"/>
              </w:rPr>
              <w:t>0</w:t>
            </w:r>
          </w:p>
        </w:tc>
      </w:tr>
    </w:tbl>
    <w:p>
      <w:pPr>
        <w:spacing w:before="0" w:after="40"/>
      </w:pPr>
    </w:p>
    <w:p>
      <w:pPr>
        <w:pStyle w:val="Heading1"/>
        <w:keepNext/>
      </w:pPr>
      <w:r>
        <w:t>6. Resultados de la limpieza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La tasa de conservación fue 100%: (11,603 / 11,603) × 100. No se eliminaron registros, porque la llave CODIGO es íntegra y no existen duplicados exactos. Las transformaciones se expresan como columnas nuevas y una bitácora de cambios registra, por fila y variable, el valor original, el valor limpio y la regla aplicada.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700"/>
        <w:gridCol w:w="3550"/>
        <w:gridCol w:w="4110"/>
      </w:tblGrid>
      <w:tr>
        <w:trPr>
          <w:cantSplit/>
          <w:tblHeader w:val="true"/>
        </w:trPr>
        <w:tc>
          <w:tcPr>
            <w:tcW w:type="dxa" w:w="17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Variable</w:t>
            </w:r>
          </w:p>
        </w:tc>
        <w:tc>
          <w:tcPr>
            <w:tcW w:type="dxa" w:w="355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Fuente</w:t>
            </w:r>
          </w:p>
        </w:tc>
        <w:tc>
          <w:tcPr>
            <w:tcW w:type="dxa" w:w="411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Presentación analítica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DEPARTAMENTO</w:t>
            </w:r>
          </w:p>
        </w:tc>
        <w:tc>
          <w:tcPr>
            <w:tcW w:type="dxa" w:w="35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ALTA VERAPAZ</w:t>
            </w:r>
          </w:p>
        </w:tc>
        <w:tc>
          <w:tcPr>
            <w:tcW w:type="dxa" w:w="41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Alta Verapaz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MUNICIPIO</w:t>
            </w:r>
          </w:p>
        </w:tc>
        <w:tc>
          <w:tcPr>
            <w:tcW w:type="dxa" w:w="35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COBAN</w:t>
            </w:r>
          </w:p>
        </w:tc>
        <w:tc>
          <w:tcPr>
            <w:tcW w:type="dxa" w:w="41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Cobán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ESTABLECIMIENTO</w:t>
            </w:r>
          </w:p>
        </w:tc>
        <w:tc>
          <w:tcPr>
            <w:tcW w:type="dxa" w:w="35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INSTITUTO MIXTO NOCTURNO FRANCISCO MARROQUIN</w:t>
            </w:r>
          </w:p>
        </w:tc>
        <w:tc>
          <w:tcPr>
            <w:tcW w:type="dxa" w:w="41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Instituto Mixto Nocturno Francisco Marroquín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ESTABLECIMIENTO</w:t>
            </w:r>
          </w:p>
        </w:tc>
        <w:tc>
          <w:tcPr>
            <w:tcW w:type="dxa" w:w="35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INSTITUTO DE TURSMO Y AVIACON DEL NORTE I.T.A.N</w:t>
            </w:r>
          </w:p>
        </w:tc>
        <w:tc>
          <w:tcPr>
            <w:tcW w:type="dxa" w:w="41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Instituto de Turismo y Aviación del Norte I.T.A.N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DIRECCION</w:t>
            </w:r>
          </w:p>
        </w:tc>
        <w:tc>
          <w:tcPr>
            <w:tcW w:type="dxa" w:w="35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6A. AVENIDA 1-15 ZONA 4</w:t>
            </w:r>
          </w:p>
        </w:tc>
        <w:tc>
          <w:tcPr>
            <w:tcW w:type="dxa" w:w="41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6A. Avenida 1-15, Zona 4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TELEFONO</w:t>
            </w:r>
          </w:p>
        </w:tc>
        <w:tc>
          <w:tcPr>
            <w:tcW w:type="dxa" w:w="35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77945104</w:t>
            </w:r>
          </w:p>
        </w:tc>
        <w:tc>
          <w:tcPr>
            <w:tcW w:type="dxa" w:w="41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7794-5104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SUPERVISOR</w:t>
            </w:r>
          </w:p>
        </w:tc>
        <w:tc>
          <w:tcPr>
            <w:tcW w:type="dxa" w:w="35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JORGE EDUARDO PAQUE LAZARO</w:t>
            </w:r>
          </w:p>
        </w:tc>
        <w:tc>
          <w:tcPr>
            <w:tcW w:type="dxa" w:w="41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Jorge Eduardo Paque Lázaro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DIRECTOR</w:t>
            </w:r>
          </w:p>
        </w:tc>
        <w:tc>
          <w:tcPr>
            <w:tcW w:type="dxa" w:w="355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--</w:t>
            </w:r>
          </w:p>
        </w:tc>
        <w:tc>
          <w:tcPr>
            <w:tcW w:type="dxa" w:w="411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null; estado = No informado</w:t>
            </w:r>
          </w:p>
        </w:tc>
      </w:tr>
    </w:tbl>
    <w:p>
      <w:pPr>
        <w:spacing w:before="0" w:after="4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60"/>
      </w:tblPr>
      <w:tblGrid>
        <w:gridCol w:w="9360"/>
      </w:tblGrid>
      <w:tr>
        <w:trPr/>
        <w:tc>
          <w:tcPr>
            <w:tcW w:type="dxa" w:w="9360"/>
            <w:shd w:fill="FFF7E6"/>
            <w:tcBorders>
              <w:top w:val="nil"/>
              <w:left w:val="single" w:sz="14" w:color="B98A2E"/>
              <w:bottom w:val="nil"/>
              <w:right w:val="nil"/>
              <w:insideH w:val="single" w:sz="14" w:color="B98A2E"/>
              <w:insideV w:val="single" w:sz="14" w:color="B98A2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spacing w:before="40" w:after="40" w:line="259" w:lineRule="auto"/>
            </w:pPr>
            <w:r/>
            <w:r>
              <w:rPr>
                <w:rFonts w:ascii="Calibri" w:hAnsi="Calibri" w:eastAsia="Calibri"/>
                <w:b/>
                <w:color w:val="B98A2E"/>
                <w:sz w:val="21"/>
              </w:rPr>
              <w:t xml:space="preserve">Interpretación: </w:t>
            </w:r>
            <w:r>
              <w:rPr>
                <w:rFonts w:ascii="Calibri" w:hAnsi="Calibri" w:eastAsia="Calibri"/>
                <w:color w:val="17202A"/>
                <w:sz w:val="21"/>
              </w:rPr>
              <w:t>Estas correcciones no certifican que cada nombre propio coincida con una fuente externa; son normalizaciones reproducibles respaldadas por reglas conservadoras. Para usos legales o administrativos debe verificarse el valor con MINEDUC y consultar siempre la columna original.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Análisis descriptivo del conjunto final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753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men_distribucion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7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i/>
          <w:color w:val="5F6B76"/>
          <w:sz w:val="17"/>
        </w:rPr>
        <w:t>Figura 2. Distribuciones principales del conjunto limpio.</w:t>
      </w:r>
    </w:p>
    <w:p>
      <w:pPr>
        <w:pStyle w:val="Heading2"/>
        <w:keepNext/>
      </w:pPr>
      <w:r>
        <w:t>7.1 Sector y estado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200"/>
        <w:gridCol w:w="1900"/>
        <w:gridCol w:w="2260"/>
      </w:tblGrid>
      <w:tr>
        <w:trPr>
          <w:cantSplit/>
          <w:tblHeader w:val="true"/>
        </w:trPr>
        <w:tc>
          <w:tcPr>
            <w:tcW w:type="dxa" w:w="52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Sector</w:t>
            </w:r>
          </w:p>
        </w:tc>
        <w:tc>
          <w:tcPr>
            <w:tcW w:type="dxa" w:w="19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Filas</w:t>
            </w:r>
          </w:p>
        </w:tc>
        <w:tc>
          <w:tcPr>
            <w:tcW w:type="dxa" w:w="22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Privado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9,648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83.15%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Oficial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1,488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12.82%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Cooperativa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292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2.52%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Municipal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175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1.51%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200"/>
        <w:gridCol w:w="1900"/>
        <w:gridCol w:w="2260"/>
      </w:tblGrid>
      <w:tr>
        <w:trPr>
          <w:cantSplit/>
          <w:tblHeader w:val="true"/>
        </w:trPr>
        <w:tc>
          <w:tcPr>
            <w:tcW w:type="dxa" w:w="52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Estado</w:t>
            </w:r>
          </w:p>
        </w:tc>
        <w:tc>
          <w:tcPr>
            <w:tcW w:type="dxa" w:w="19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Filas</w:t>
            </w:r>
          </w:p>
        </w:tc>
        <w:tc>
          <w:tcPr>
            <w:tcW w:type="dxa" w:w="22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Abierta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6,702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57.76%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Cerrada temporalmente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2,930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25.25%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Cerrada definitivamente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1,813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15.63%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Temporal por títulos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109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0.94%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Temporal por nombramiento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49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0.42%</w:t>
            </w:r>
          </w:p>
        </w:tc>
      </w:tr>
    </w:tbl>
    <w:p>
      <w:pPr>
        <w:spacing w:before="0" w:after="40"/>
      </w:pP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El 83.15% de los servicios pertenece al sector privado. El 57.76% figura abierto; el 25.25% está cerrado temporalmente y el 15.63% cerrado definitivamente. Estas cifras describen registros administrativos del archivo y no deben interpretarse como matrícula, capacidad instalada ni edificios únicos.</w:t>
      </w:r>
    </w:p>
    <w:p>
      <w:pPr>
        <w:pStyle w:val="Heading2"/>
        <w:keepNext/>
      </w:pPr>
      <w:r>
        <w:t>7.2 Área, jornada y modalidad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200"/>
        <w:gridCol w:w="1900"/>
        <w:gridCol w:w="2260"/>
      </w:tblGrid>
      <w:tr>
        <w:trPr>
          <w:cantSplit/>
          <w:tblHeader w:val="true"/>
        </w:trPr>
        <w:tc>
          <w:tcPr>
            <w:tcW w:type="dxa" w:w="52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Área</w:t>
            </w:r>
          </w:p>
        </w:tc>
        <w:tc>
          <w:tcPr>
            <w:tcW w:type="dxa" w:w="19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Filas</w:t>
            </w:r>
          </w:p>
        </w:tc>
        <w:tc>
          <w:tcPr>
            <w:tcW w:type="dxa" w:w="22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Urbana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9,271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79.90%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Rural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2,329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20.07%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No informado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3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0.03%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200"/>
        <w:gridCol w:w="1900"/>
        <w:gridCol w:w="2260"/>
      </w:tblGrid>
      <w:tr>
        <w:trPr>
          <w:cantSplit/>
          <w:tblHeader w:val="true"/>
        </w:trPr>
        <w:tc>
          <w:tcPr>
            <w:tcW w:type="dxa" w:w="52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Jornada</w:t>
            </w:r>
          </w:p>
        </w:tc>
        <w:tc>
          <w:tcPr>
            <w:tcW w:type="dxa" w:w="19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Filas</w:t>
            </w:r>
          </w:p>
        </w:tc>
        <w:tc>
          <w:tcPr>
            <w:tcW w:type="dxa" w:w="22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Doble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3,705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31.93%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Vespertina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3,344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28.82%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Matutina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2,943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25.36%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No informado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1,072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9.24%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Nocturna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413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3.56%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Intermedia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126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1.09%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200"/>
        <w:gridCol w:w="1900"/>
        <w:gridCol w:w="2260"/>
      </w:tblGrid>
      <w:tr>
        <w:trPr>
          <w:cantSplit/>
          <w:tblHeader w:val="true"/>
        </w:trPr>
        <w:tc>
          <w:tcPr>
            <w:tcW w:type="dxa" w:w="52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Modalidad</w:t>
            </w:r>
          </w:p>
        </w:tc>
        <w:tc>
          <w:tcPr>
            <w:tcW w:type="dxa" w:w="19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Filas</w:t>
            </w:r>
          </w:p>
        </w:tc>
        <w:tc>
          <w:tcPr>
            <w:tcW w:type="dxa" w:w="22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Monolingüe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11,130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95.92%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Bilingüe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473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4.08%</w:t>
            </w:r>
          </w:p>
        </w:tc>
      </w:tr>
    </w:tbl>
    <w:p>
      <w:pPr>
        <w:spacing w:before="0" w:after="40"/>
      </w:pP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La clasificación urbana representa 79.90% y la rural 20.07%; tres registros no informan el área. Las jornadas más frecuentes son Doble (31.93%), Vespertina (28.82%) y Matutina (25.36%). El 9.24% no informa jornada. La modalidad Monolingüe representa 95.92%.</w:t>
      </w:r>
    </w:p>
    <w:p>
      <w:pPr>
        <w:pStyle w:val="Heading2"/>
        <w:keepNext/>
      </w:pPr>
      <w:r>
        <w:t>7.3 Ubicación y teléfonos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200"/>
        <w:gridCol w:w="1900"/>
        <w:gridCol w:w="2260"/>
      </w:tblGrid>
      <w:tr>
        <w:trPr>
          <w:cantSplit/>
          <w:tblHeader w:val="true"/>
        </w:trPr>
        <w:tc>
          <w:tcPr>
            <w:tcW w:type="dxa" w:w="52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Ubicación</w:t>
            </w:r>
          </w:p>
        </w:tc>
        <w:tc>
          <w:tcPr>
            <w:tcW w:type="dxa" w:w="19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Filas</w:t>
            </w:r>
          </w:p>
        </w:tc>
        <w:tc>
          <w:tcPr>
            <w:tcW w:type="dxa" w:w="22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Otros municipios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9,442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81.38%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Ciudad Capital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2,161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18.62%</w:t>
            </w:r>
          </w:p>
        </w:tc>
      </w:tr>
    </w:tbl>
    <w:p>
      <w:pPr>
        <w:spacing w:before="0"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200"/>
        <w:gridCol w:w="1900"/>
        <w:gridCol w:w="2260"/>
      </w:tblGrid>
      <w:tr>
        <w:trPr>
          <w:cantSplit/>
          <w:tblHeader w:val="true"/>
        </w:trPr>
        <w:tc>
          <w:tcPr>
            <w:tcW w:type="dxa" w:w="52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Estado del teléfono</w:t>
            </w:r>
          </w:p>
        </w:tc>
        <w:tc>
          <w:tcPr>
            <w:tcW w:type="dxa" w:w="19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Filas</w:t>
            </w:r>
          </w:p>
        </w:tc>
        <w:tc>
          <w:tcPr>
            <w:tcW w:type="dxa" w:w="22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8"/>
              </w:rPr>
              <w:t>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Válido único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10,444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90.01%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Vacío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933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8.04%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Válidos múltiples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122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1.05%</w:t>
            </w:r>
          </w:p>
        </w:tc>
      </w:tr>
      <w:tr>
        <w:trPr>
          <w:cantSplit/>
        </w:trPr>
        <w:tc>
          <w:tcPr>
            <w:tcW w:type="dxa" w:w="52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Formato no estándar</w:t>
            </w:r>
          </w:p>
        </w:tc>
        <w:tc>
          <w:tcPr>
            <w:tcW w:type="dxa" w:w="19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104</w:t>
            </w:r>
          </w:p>
        </w:tc>
        <w:tc>
          <w:tcPr>
            <w:tcW w:type="dxa" w:w="22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8"/>
              </w:rPr>
              <w:t>0.90%</w:t>
            </w:r>
          </w:p>
        </w:tc>
      </w:tr>
    </w:tbl>
    <w:p>
      <w:pPr>
        <w:spacing w:before="0" w:after="40"/>
      </w:pP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Ciudad Capital concentra 2,161 registros (18.62%). Después de integrarla a Guatemala, el departamento analítico de Guatemala suma 3,805 filas (32.79%). En teléfonos, 90.01% contiene un único número válido, 1.05% varios números válidos, 0.90% un formato no estándar que debe revisarse y 8.04% está vacío.</w:t>
      </w:r>
    </w:p>
    <w:p>
      <w:pPr>
        <w:pStyle w:val="Heading1"/>
        <w:keepNext/>
      </w:pPr>
      <w:r>
        <w:t>8. Control de calidad y reproducibilidad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720"/>
        <w:gridCol w:w="4160"/>
        <w:gridCol w:w="1000"/>
        <w:gridCol w:w="1680"/>
        <w:gridCol w:w="1800"/>
      </w:tblGrid>
      <w:tr>
        <w:trPr>
          <w:cantSplit/>
          <w:tblHeader w:val="true"/>
        </w:trPr>
        <w:tc>
          <w:tcPr>
            <w:tcW w:type="dxa" w:w="72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ID</w:t>
            </w:r>
          </w:p>
        </w:tc>
        <w:tc>
          <w:tcPr>
            <w:tcW w:type="dxa" w:w="41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Control</w:t>
            </w:r>
          </w:p>
        </w:tc>
        <w:tc>
          <w:tcPr>
            <w:tcW w:type="dxa" w:w="10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Cumple</w:t>
            </w:r>
          </w:p>
        </w:tc>
        <w:tc>
          <w:tcPr>
            <w:tcW w:type="dxa" w:w="168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Esperado</w:t>
            </w:r>
          </w:p>
        </w:tc>
        <w:tc>
          <w:tcPr>
            <w:tcW w:type="dxa" w:w="18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6"/>
              </w:rPr>
              <w:t>Observado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QC01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Filas conservadas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11,603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11,603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QC02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CODIGO único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11,603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11,603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QC03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CODIGO con patrón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11,603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11,603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QC04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Duplicados exactos crudos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QC05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Categorías de origen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23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23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QC06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Departamentos analíticos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22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22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QC07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Filas Ciudad Capital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2,161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2,161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QC08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Null en DISTRITO_LIMPIO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591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591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QC09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Null en ESTABLECIMIENTO_LIMPIO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QC10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Null en DIRECCION_LIMPIA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87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87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QC11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Null en TELEFONO_LIMPIO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933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933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QC12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Null en SUPERVISOR_LIMPIO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525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525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QC13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Null en DIRECTOR_LIMPIO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2,106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2,106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QC14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Null en AREA_LIMPIA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3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QC15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Null en JORNADA_LIMPIA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1,072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1,072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QC16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Códigos sector completos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QC17</w:t>
            </w:r>
          </w:p>
        </w:tc>
        <w:tc>
          <w:tcPr>
            <w:tcW w:type="dxa" w:w="41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Códigos status completos</w:t>
            </w:r>
          </w:p>
        </w:tc>
        <w:tc>
          <w:tcPr>
            <w:tcW w:type="dxa" w:w="10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Sí</w:t>
            </w:r>
          </w:p>
        </w:tc>
        <w:tc>
          <w:tcPr>
            <w:tcW w:type="dxa" w:w="168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</w:t>
            </w:r>
          </w:p>
        </w:tc>
        <w:tc>
          <w:tcPr>
            <w:tcW w:type="dxa" w:w="18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6"/>
              </w:rPr>
              <w:t>0</w:t>
            </w:r>
          </w:p>
        </w:tc>
      </w:tr>
    </w:tbl>
    <w:p>
      <w:pPr>
        <w:spacing w:before="0" w:after="40"/>
      </w:pP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Los 17 controles pasaron. Además, el notebook conserva sus salidas de ejecución: 13 celdas de código tienen número de ejecución consecutivo, no existen trazas de error y las tablas y figuras corresponden a la misma corrida que generó los archivos finales.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9360"/>
      </w:tblGrid>
      <w:tr>
        <w:trPr/>
        <w:tc>
          <w:tcPr>
            <w:tcW w:type="dxa" w:w="9360"/>
            <w:shd w:fill="F5F7FA"/>
            <w:tcBorders>
              <w:top w:val="nil"/>
              <w:left w:val="single" w:sz="8" w:color="CCD6DF"/>
              <w:bottom w:val="nil"/>
              <w:right w:val="nil"/>
              <w:insideH w:val="single" w:sz="8" w:color="CCD6DF"/>
              <w:insideV w:val="single" w:sz="8" w:color="CCD6DF"/>
            </w:tcBorders>
            <w:tcMar>
              <w:top w:w="90" w:type="dxa"/>
              <w:bottom w:w="90" w:type="dxa"/>
              <w:start w:w="150" w:type="dxa"/>
              <w:end w:w="150" w:type="dxa"/>
            </w:tcMar>
          </w:tcPr>
          <w:p>
            <w:pPr>
              <w:spacing w:before="80" w:after="80"/>
            </w:pPr>
            <w:r/>
            <w:r>
              <w:rPr>
                <w:rFonts w:ascii="Consolas" w:hAnsi="Consolas" w:eastAsia="Consolas"/>
                <w:color w:val="243447"/>
                <w:sz w:val="16"/>
              </w:rPr>
              <w:t>assert controles["CUMPLE"].all()</w:t>
            </w:r>
            <w:r>
              <w:br/>
            </w:r>
            <w:r>
              <w:rPr>
                <w:rFonts w:ascii="Consolas" w:hAnsi="Consolas" w:eastAsia="Consolas"/>
                <w:color w:val="243447"/>
                <w:sz w:val="16"/>
              </w:rPr>
              <w:t>assert len(df_limpio) == len(df_raw) == 11603</w:t>
            </w:r>
            <w:r>
              <w:br/>
            </w:r>
            <w:r>
              <w:rPr>
                <w:rFonts w:ascii="Consolas" w:hAnsi="Consolas" w:eastAsia="Consolas"/>
                <w:color w:val="243447"/>
                <w:sz w:val="16"/>
              </w:rPr>
              <w:t>assert df_limpio["CODIGO"].is_unique</w:t>
            </w:r>
            <w:r>
              <w:br/>
            </w:r>
            <w:r>
              <w:rPr>
                <w:rFonts w:ascii="Consolas" w:hAnsi="Consolas" w:eastAsia="Consolas"/>
                <w:color w:val="243447"/>
                <w:sz w:val="16"/>
              </w:rPr>
              <w:t>assert df_limpio["DEPARTAMENTO_ANALISIS"].nunique() == 22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9. Libro de códigos y entregables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El libro de códigos documenta 56 variables. Para cada una indica significado, tipo, admisión de null, dominio o valores posibles, origen de la regla y un ejemplo. Los catálogos de codificación se incluyen en CSV y en el libro Excel. Todos los códigos categóricos son nominales y sus etiquetas legibles se conservan.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4300"/>
        <w:gridCol w:w="5060"/>
      </w:tblGrid>
      <w:tr>
        <w:trPr>
          <w:cantSplit/>
          <w:tblHeader w:val="true"/>
        </w:trPr>
        <w:tc>
          <w:tcPr>
            <w:tcW w:type="dxa" w:w="430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Archivo</w:t>
            </w:r>
          </w:p>
        </w:tc>
        <w:tc>
          <w:tcPr>
            <w:tcW w:type="dxa" w:w="5060"/>
            <w:shd w:fill="F2F4F7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2355B"/>
                <w:sz w:val="17"/>
              </w:rPr>
              <w:t>Finalidad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Proyecto_1_MINEDUC_Final_Ejecutado.ipynb</w:t>
            </w:r>
          </w:p>
        </w:tc>
        <w:tc>
          <w:tcPr>
            <w:tcW w:type="dxa" w:w="50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Notebook reproducible, ejecutado y con análisis.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Informe_Final_Proyecto_1_MINEDUC.docx / .pdf</w:t>
            </w:r>
          </w:p>
        </w:tc>
        <w:tc>
          <w:tcPr>
            <w:tcW w:type="dxa" w:w="50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Informe final formal y versión fija para entrega.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Libro_de_Codigos_MINEDUC.docx / .pdf</w:t>
            </w:r>
          </w:p>
        </w:tc>
        <w:tc>
          <w:tcPr>
            <w:tcW w:type="dxa" w:w="50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Descripción general, 56 variables y catálogos.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Proyecto_1_MINEDUC_Datos_Libro_Codigos.xlsx</w:t>
            </w:r>
          </w:p>
        </w:tc>
        <w:tc>
          <w:tcPr>
            <w:tcW w:type="dxa" w:w="50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Panel, datos analíticos, diagnóstico, reglas, catálogos y controles.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establecimientos_diversificado_limpio.csv</w:t>
            </w:r>
          </w:p>
        </w:tc>
        <w:tc>
          <w:tcPr>
            <w:tcW w:type="dxa" w:w="50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Conjunto nacional completo de 11,603 × 56.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establecimientos_diversificado_limpio_analitico.csv</w:t>
            </w:r>
          </w:p>
        </w:tc>
        <w:tc>
          <w:tcPr>
            <w:tcW w:type="dxa" w:w="50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Vista de 11,603 × 39 para uso práctico.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datos_crudos_establecimientos_diversificado.csv</w:t>
            </w:r>
          </w:p>
        </w:tc>
        <w:tc>
          <w:tcPr>
            <w:tcW w:type="dxa" w:w="50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Consolidado crudo inalterado.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bitacora_cambios_detalle.csv</w:t>
            </w:r>
          </w:p>
        </w:tc>
        <w:tc>
          <w:tcPr>
            <w:tcW w:type="dxa" w:w="50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Trazabilidad por fila y variable.</w:t>
            </w:r>
          </w:p>
        </w:tc>
      </w:tr>
      <w:tr>
        <w:trPr>
          <w:cantSplit/>
        </w:trPr>
        <w:tc>
          <w:tcPr>
            <w:tcW w:type="dxa" w:w="430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catalogos_codificacion.csv</w:t>
            </w:r>
          </w:p>
        </w:tc>
        <w:tc>
          <w:tcPr>
            <w:tcW w:type="dxa" w:w="5060"/>
            <w:vAlign w:val="center"/>
            <w:tcBorders>
              <w:top w:val="single" w:sz="6" w:color="B8C4CE"/>
              <w:left w:val="single" w:sz="6" w:color="B8C4CE"/>
              <w:bottom w:val="single" w:sz="6" w:color="B8C4CE"/>
              <w:right w:val="single" w:sz="6" w:color="B8C4CE"/>
              <w:insideH w:val="single" w:sz="6" w:color="B8C4CE"/>
              <w:insideV w:val="single" w:sz="6" w:color="B8C4CE"/>
            </w:tcBorders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7202A"/>
                <w:sz w:val="17"/>
              </w:rPr>
              <w:t>Relación de valores, etiquetas y códigos nominales.</w:t>
            </w:r>
          </w:p>
        </w:tc>
      </w:tr>
    </w:tbl>
    <w:p>
      <w:pPr>
        <w:spacing w:before="0" w:after="40"/>
      </w:pPr>
    </w:p>
    <w:p>
      <w:pPr>
        <w:pStyle w:val="Heading1"/>
        <w:keepNext/>
      </w:pPr>
      <w:r>
        <w:t>10. Limitaciones</w:t>
      </w:r>
    </w:p>
    <w:p>
      <w:pPr>
        <w:numPr>
          <w:ilvl w:val="0"/>
          <w:numId w:val="10"/>
        </w:numPr>
        <w:spacing w:before="0" w:after="160" w:line="280" w:lineRule="auto"/>
        <w:widowControl w:val="1"/>
      </w:pPr>
      <w:r>
        <w:rPr>
          <w:rFonts w:ascii="Calibri" w:hAnsi="Calibri" w:eastAsia="Calibri"/>
          <w:color w:val="17202A"/>
        </w:rPr>
        <w:t>El archivo representa códigos de servicio educativo y no necesariamente planteles físicos únicos.</w:t>
      </w:r>
    </w:p>
    <w:p>
      <w:pPr>
        <w:numPr>
          <w:ilvl w:val="0"/>
          <w:numId w:val="10"/>
        </w:numPr>
        <w:spacing w:before="0" w:after="160" w:line="280" w:lineRule="auto"/>
        <w:widowControl w:val="1"/>
      </w:pPr>
      <w:r>
        <w:rPr>
          <w:rFonts w:ascii="Calibri" w:hAnsi="Calibri" w:eastAsia="Calibri"/>
          <w:color w:val="17202A"/>
        </w:rPr>
        <w:t>Las cifras describen el estado de la fuente en la fecha de procesamiento; el portal puede cambiar posteriormente.</w:t>
      </w:r>
    </w:p>
    <w:p>
      <w:pPr>
        <w:numPr>
          <w:ilvl w:val="0"/>
          <w:numId w:val="10"/>
        </w:numPr>
        <w:spacing w:before="0" w:after="160" w:line="280" w:lineRule="auto"/>
        <w:widowControl w:val="1"/>
      </w:pPr>
      <w:r>
        <w:rPr>
          <w:rFonts w:ascii="Calibri" w:hAnsi="Calibri" w:eastAsia="Calibri"/>
          <w:color w:val="17202A"/>
        </w:rPr>
        <w:t>No se imputaron nombres, teléfonos, distritos ni jornadas sin evidencia; null conserva la ausencia.</w:t>
      </w:r>
    </w:p>
    <w:p>
      <w:pPr>
        <w:numPr>
          <w:ilvl w:val="0"/>
          <w:numId w:val="10"/>
        </w:numPr>
        <w:spacing w:before="0" w:after="160" w:line="280" w:lineRule="auto"/>
        <w:widowControl w:val="1"/>
      </w:pPr>
      <w:r>
        <w:rPr>
          <w:rFonts w:ascii="Calibri" w:hAnsi="Calibri" w:eastAsia="Calibri"/>
          <w:color w:val="17202A"/>
        </w:rPr>
        <w:t>Los 104 teléfonos no estándar requieren revisión manual o contraste con una fuente oficial.</w:t>
      </w:r>
    </w:p>
    <w:p>
      <w:pPr>
        <w:numPr>
          <w:ilvl w:val="0"/>
          <w:numId w:val="10"/>
        </w:numPr>
        <w:spacing w:before="0" w:after="160" w:line="280" w:lineRule="auto"/>
        <w:widowControl w:val="1"/>
      </w:pPr>
      <w:r>
        <w:rPr>
          <w:rFonts w:ascii="Calibri" w:hAnsi="Calibri" w:eastAsia="Calibri"/>
          <w:color w:val="17202A"/>
        </w:rPr>
        <w:t>La normalización ortográfica mejora presentación, pero un nombre propio crítico debe verificarse contra el registro oficial antes de uso legal.</w:t>
      </w:r>
    </w:p>
    <w:p>
      <w:pPr>
        <w:numPr>
          <w:ilvl w:val="0"/>
          <w:numId w:val="10"/>
        </w:numPr>
        <w:spacing w:before="0" w:after="160" w:line="280" w:lineRule="auto"/>
        <w:widowControl w:val="1"/>
      </w:pPr>
      <w:r>
        <w:rPr>
          <w:rFonts w:ascii="Calibri" w:hAnsi="Calibri" w:eastAsia="Calibri"/>
          <w:color w:val="17202A"/>
        </w:rPr>
        <w:t>Las particiones por origen se derivaron del consolidado crudo disponible; su finalidad es auditar la unión nacional.</w:t>
      </w:r>
    </w:p>
    <w:p>
      <w:pPr>
        <w:pStyle w:val="Heading1"/>
        <w:keepNext/>
      </w:pPr>
      <w:r>
        <w:t>11. Conclusiones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El proyecto cumple la ruta completa solicitada: conserva los datos crudos en CSV, diagnostica su estructura y calidad mediante código, ejecuta reglas justificadas, documenta cada cambio, produce una unión nacional limpia y entrega un libro de códigos. La decisión de mantener originales y derivados permite mejorar legibilidad sin perder evidencia.</w:t>
      </w:r>
    </w:p>
    <w:p>
      <w:pPr>
        <w:widowControl w:val="1"/>
      </w:pPr>
      <w:r>
        <w:rPr>
          <w:rFonts w:ascii="Calibri" w:hAnsi="Calibri" w:eastAsia="Calibri"/>
          <w:i w:val="0"/>
          <w:color w:val="17202A"/>
        </w:rPr>
        <w:t>La codificación nominal de variables categóricas —incluida la distinción Ciudad Capital/Otros municipios— reduce inconsistencias futuras. El tratamiento variable por variable de los faltantes evita convertir categorías semánticas de ausencia en valores reales o imputar información inexistente.</w:t>
      </w:r>
    </w:p>
    <w:p>
      <w:pPr>
        <w:pStyle w:val="Heading1"/>
        <w:keepNext/>
      </w:pPr>
      <w:r>
        <w:t>Referencia</w:t>
      </w:r>
    </w:p>
    <w:p>
      <w:pPr>
        <w:ind w:left="504" w:hanging="504"/>
      </w:pPr>
      <w:r>
        <w:rPr>
          <w:rFonts w:ascii="Calibri" w:hAnsi="Calibri" w:eastAsia="Calibri"/>
          <w:color w:val="17202A"/>
        </w:rPr>
        <w:t xml:space="preserve">Ministerio de Educación de Guatemala. (s. f.). Búsqueda de centros educativos autorizados por el Mineduc. </w:t>
      </w:r>
      <w:hyperlink r:id="rId11">
        <w:r>
          <w:rPr>
            <w:color w:val="2E74B5"/>
            <w:u w:val="single"/>
          </w:rPr>
          <w:t>http://www.mineduc.gob.gt/BUSCAESTABLECIMIENTO_GE/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Calibri"/>
        <w:color w:val="5F6B76"/>
        <w:sz w:val="17"/>
      </w:rPr>
      <w:t xml:space="preserve">Página </w:t>
    </w:r>
    <w:r>
      <w:rPr>
        <w:rFonts w:ascii="Calibri" w:hAnsi="Calibri" w:eastAsia="Calibri"/>
        <w:color w:val="5F6B76"/>
        <w:sz w:val="17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Calibri"/>
        <w:color w:val="5F6B76"/>
        <w:sz w:val="17"/>
      </w:rPr>
      <w:t xml:space="preserve"> de </w:t>
    </w:r>
    <w:r>
      <w:rPr>
        <w:rFonts w:ascii="Calibri" w:hAnsi="Calibri" w:eastAsia="Calibri"/>
        <w:color w:val="5F6B76"/>
        <w:sz w:val="17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Calibri" w:hAnsi="Calibri" w:eastAsia="Calibri"/>
        <w:b/>
        <w:color w:val="5F6B76"/>
        <w:sz w:val="16"/>
      </w:rPr>
      <w:t>PROYECTO 1 · INFORME FINAL</w:t>
    </w:r>
    <w:r>
      <w:tab/>
    </w:r>
    <w:r>
      <w:rPr>
        <w:rFonts w:ascii="Calibri" w:hAnsi="Calibri" w:eastAsia="Calibri"/>
        <w:color w:val="5F6B76"/>
        <w:sz w:val="16"/>
      </w:rPr>
      <w:t>CC3066 · DATA SCIENCE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  <w:jc w:val="left"/>
    </w:pPr>
    <w:rPr>
      <w:rFonts w:ascii="Calibri" w:hAnsi="Calibri" w:eastAsia="Calibr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Source">
    <w:name w:val="Table Source"/>
    <w:pPr>
      <w:spacing w:before="80" w:after="80"/>
    </w:pPr>
    <w:rPr>
      <w:rFonts w:ascii="Calibri" w:hAnsi="Calibri"/>
      <w:i/>
      <w:color w:val="5F6B7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://www.mineduc.gob.gt/BUSCAESTABLECIMIENTO_GE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final: obtención y limpieza de datos MINEDUC</dc:title>
  <dc:subject>Establecimientos educativos de Guatemala, nivel Diversificado</dc:subject>
  <dc:creator>ABBY SOFIA DONIS AGREDA — 22440; PABLO DANIEL BARILLAS MORENO — 22193; JORGE PALACIOS — 231385; ROBERTO EMILIANO OTONIEL CAMPOSECO TORRES — 23968</dc:creator>
  <cp:keywords>MINEDUC, Data Science, limpieza, reproducibilidad, libro de códigos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