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OUTBREAK</w:t>
        <w:br/>
      </w:r>
      <w:r>
        <w:rPr>
          <w:color w:val="276749"/>
        </w:rPr>
        <w:t>Stochastic Survival Lab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9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break-command-cen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9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Ficha técnica del repositorio</w:t>
        <w:br/>
      </w:r>
      <w:r>
        <w:t>Grupo 1 · CC2017 · Sección 30 · 2026</w:t>
      </w:r>
    </w:p>
    <w:p>
      <w:pPr>
        <w:jc w:val="center"/>
      </w:pPr>
      <w:hyperlink r:id="rId12">
        <w:r>
          <w:rPr>
            <w:color w:val="2E75B6"/>
            <w:u w:val="single"/>
          </w:rPr>
          <w:t>Abrir repositorio en GitHub</w:t>
        </w:r>
      </w:hyperlink>
    </w:p>
    <w:p>
      <w:pPr>
        <w:pStyle w:val="Heading1"/>
      </w:pPr>
      <w:r>
        <w:t>1. Propósito y pregunta</w:t>
      </w:r>
    </w:p>
    <w:p>
      <w:r>
        <w:t>Se modela el subsistema real de aparición y balance de enemigos de un videojuego. La simulación conecta tiempos aleatorios de llegada con movimiento, combate y probabilidad de completar una misión de 90 s.</w:t>
      </w:r>
    </w:p>
    <w:p>
      <w:r>
        <w:rPr>
          <w:b/>
        </w:rPr>
        <w:t xml:space="preserve">Pregunta central. </w:t>
      </w:r>
      <w:r>
        <w:t>¿Cómo cambian congestión y supervivencia al conservar la media, pero modificar la distribución de los interarribos?</w:t>
      </w:r>
    </w:p>
    <w:p>
      <w:pPr>
        <w:pStyle w:val="ListBullet"/>
      </w:pPr>
      <w:r>
        <w:t>Poisson homogéneo: interarribos exponenciales por transformada inversa.</w:t>
      </w:r>
    </w:p>
    <w:p>
      <w:pPr>
        <w:pStyle w:val="ListBullet"/>
      </w:pPr>
      <w:r>
        <w:t>Polar--lognormal: renovación positiva con media 1/lambda y CV configurable.</w:t>
      </w:r>
    </w:p>
    <w:p>
      <w:pPr>
        <w:pStyle w:val="ListBullet"/>
      </w:pPr>
      <w:r>
        <w:t>Comparación algorítmica: Marsaglia Polar y Box--Muller generan la misma N(0,1).</w:t>
      </w:r>
    </w:p>
    <w:p>
      <w:pPr>
        <w:pStyle w:val="ListBullet"/>
      </w:pPr>
      <w:r>
        <w:t>Monte Carlo pareado: Wilson, McNemar exacta, Wilcoxon y bootstrap.</w:t>
      </w:r>
    </w:p>
    <w:p>
      <w:pPr>
        <w:pStyle w:val="Heading1"/>
      </w:pPr>
      <w:r>
        <w:t>2. Modelo e implementación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100D"/>
            <w:vAlign w:val="center"/>
          </w:tcPr>
          <w:p>
            <w:r>
              <w:rPr>
                <w:b/>
                <w:color w:val="9FE870"/>
              </w:rPr>
              <w:t>Componente</w:t>
            </w:r>
          </w:p>
        </w:tc>
        <w:tc>
          <w:tcPr>
            <w:tcW w:type="dxa" w:w="3324"/>
            <w:shd w:fill="0B100D"/>
            <w:vAlign w:val="center"/>
          </w:tcPr>
          <w:p>
            <w:r>
              <w:rPr>
                <w:b/>
                <w:color w:val="9FE870"/>
              </w:rPr>
              <w:t>Implementación</w:t>
            </w:r>
          </w:p>
        </w:tc>
        <w:tc>
          <w:tcPr>
            <w:tcW w:type="dxa" w:w="3324"/>
            <w:shd w:fill="0B100D"/>
            <w:vAlign w:val="center"/>
          </w:tcPr>
          <w:p>
            <w:r>
              <w:rPr>
                <w:b/>
                <w:color w:val="9FE870"/>
              </w:rPr>
              <w:t>Propósito</w:t>
            </w:r>
          </w:p>
        </w:tc>
      </w:tr>
      <w:tr>
        <w:tc>
          <w:tcPr>
            <w:tcW w:type="dxa" w:w="3324"/>
            <w:vAlign w:val="center"/>
          </w:tcPr>
          <w:p>
            <w:r>
              <w:t>Llegadas</w:t>
            </w:r>
          </w:p>
        </w:tc>
        <w:tc>
          <w:tcPr>
            <w:tcW w:type="dxa" w:w="3324"/>
            <w:vAlign w:val="center"/>
          </w:tcPr>
          <w:p>
            <w:r>
              <w:t>Delta = -ln(U)/lambda</w:t>
            </w:r>
          </w:p>
        </w:tc>
        <w:tc>
          <w:tcPr>
            <w:tcW w:type="dxa" w:w="3324"/>
            <w:vAlign w:val="center"/>
          </w:tcPr>
          <w:p>
            <w:r>
              <w:t>Poisson de tasa constante</w:t>
            </w:r>
          </w:p>
        </w:tc>
      </w:tr>
      <w:tr>
        <w:tc>
          <w:tcPr>
            <w:tcW w:type="dxa" w:w="3324"/>
            <w:vAlign w:val="center"/>
          </w:tcPr>
          <w:p>
            <w:r>
              <w:t>Contraste</w:t>
            </w:r>
          </w:p>
        </w:tc>
        <w:tc>
          <w:tcPr>
            <w:tcW w:type="dxa" w:w="3324"/>
            <w:vAlign w:val="center"/>
          </w:tcPr>
          <w:p>
            <w:r>
              <w:t>Delta = exp(mu + sigma Z)</w:t>
            </w:r>
          </w:p>
        </w:tc>
        <w:tc>
          <w:tcPr>
            <w:tcW w:type="dxa" w:w="3324"/>
            <w:vAlign w:val="center"/>
          </w:tcPr>
          <w:p>
            <w:r>
              <w:t>Media igual; variabilidad distinta</w:t>
            </w:r>
          </w:p>
        </w:tc>
      </w:tr>
      <w:tr>
        <w:tc>
          <w:tcPr>
            <w:tcW w:type="dxa" w:w="3324"/>
            <w:vAlign w:val="center"/>
          </w:tcPr>
          <w:p>
            <w:r>
              <w:t>Combate</w:t>
            </w:r>
          </w:p>
        </w:tc>
        <w:tc>
          <w:tcPr>
            <w:tcW w:type="dxa" w:w="3324"/>
            <w:vAlign w:val="center"/>
          </w:tcPr>
          <w:p>
            <w:r>
              <w:t>Paso fijo dt = 0.05 s</w:t>
            </w:r>
          </w:p>
        </w:tc>
        <w:tc>
          <w:tcPr>
            <w:tcW w:type="dxa" w:w="3324"/>
            <w:vAlign w:val="center"/>
          </w:tcPr>
          <w:p>
            <w:r>
              <w:t>Movimiento, alcance, contacto y daño</w:t>
            </w:r>
          </w:p>
        </w:tc>
      </w:tr>
      <w:tr>
        <w:tc>
          <w:tcPr>
            <w:tcW w:type="dxa" w:w="3324"/>
            <w:vAlign w:val="center"/>
          </w:tcPr>
          <w:p>
            <w:r>
              <w:t>Visual</w:t>
            </w:r>
          </w:p>
        </w:tc>
        <w:tc>
          <w:tcPr>
            <w:tcW w:type="dxa" w:w="3324"/>
            <w:vAlign w:val="center"/>
          </w:tcPr>
          <w:p>
            <w:r>
              <w:t>Plotly Mesh3d</w:t>
            </w:r>
          </w:p>
        </w:tc>
        <w:tc>
          <w:tcPr>
            <w:tcW w:type="dxa" w:w="3324"/>
            <w:vAlign w:val="center"/>
          </w:tcPr>
          <w:p>
            <w:r>
              <w:t>Escena navegable dentro de Streamlit</w:t>
            </w:r>
          </w:p>
        </w:tc>
      </w:tr>
    </w:tbl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100D"/>
            <w:vAlign w:val="center"/>
          </w:tcPr>
          <w:p>
            <w:r>
              <w:rPr>
                <w:b/>
                <w:color w:val="9FE870"/>
              </w:rPr>
              <w:t>Parámetro base</w:t>
            </w:r>
          </w:p>
        </w:tc>
        <w:tc>
          <w:tcPr>
            <w:tcW w:type="dxa" w:w="3324"/>
            <w:shd w:fill="0B100D"/>
            <w:vAlign w:val="center"/>
          </w:tcPr>
          <w:p>
            <w:r>
              <w:rPr>
                <w:b/>
                <w:color w:val="9FE870"/>
              </w:rPr>
              <w:t>Valor</w:t>
            </w:r>
          </w:p>
        </w:tc>
        <w:tc>
          <w:tcPr>
            <w:tcW w:type="dxa" w:w="3324"/>
            <w:shd w:fill="0B100D"/>
            <w:vAlign w:val="center"/>
          </w:tcPr>
          <w:p>
            <w:r>
              <w:rPr>
                <w:b/>
                <w:color w:val="9FE870"/>
              </w:rPr>
              <w:t>Unidad</w:t>
            </w:r>
          </w:p>
        </w:tc>
      </w:tr>
      <w:tr>
        <w:tc>
          <w:tcPr>
            <w:tcW w:type="dxa" w:w="3324"/>
            <w:vAlign w:val="center"/>
          </w:tcPr>
          <w:p>
            <w:r>
              <w:t>Tasa</w:t>
            </w:r>
          </w:p>
        </w:tc>
        <w:tc>
          <w:tcPr>
            <w:tcW w:type="dxa" w:w="3324"/>
            <w:vAlign w:val="center"/>
          </w:tcPr>
          <w:p>
            <w:r>
              <w:t>55.8</w:t>
            </w:r>
          </w:p>
        </w:tc>
        <w:tc>
          <w:tcPr>
            <w:tcW w:type="dxa" w:w="3324"/>
            <w:vAlign w:val="center"/>
          </w:tcPr>
          <w:p>
            <w:r>
              <w:t>llegadas/min</w:t>
            </w:r>
          </w:p>
        </w:tc>
      </w:tr>
      <w:tr>
        <w:tc>
          <w:tcPr>
            <w:tcW w:type="dxa" w:w="3324"/>
            <w:vAlign w:val="center"/>
          </w:tcPr>
          <w:p>
            <w:r>
              <w:t>CV Polar</w:t>
            </w:r>
          </w:p>
        </w:tc>
        <w:tc>
          <w:tcPr>
            <w:tcW w:type="dxa" w:w="3324"/>
            <w:vAlign w:val="center"/>
          </w:tcPr>
          <w:p>
            <w:r>
              <w:t>0.60</w:t>
            </w:r>
          </w:p>
        </w:tc>
        <w:tc>
          <w:tcPr>
            <w:tcW w:type="dxa" w:w="3324"/>
            <w:vAlign w:val="center"/>
          </w:tcPr>
          <w:p>
            <w:r>
              <w:t>adimensional</w:t>
            </w:r>
          </w:p>
        </w:tc>
      </w:tr>
      <w:tr>
        <w:tc>
          <w:tcPr>
            <w:tcW w:type="dxa" w:w="3324"/>
            <w:vAlign w:val="center"/>
          </w:tcPr>
          <w:p>
            <w:r>
              <w:t>Horizonte</w:t>
            </w:r>
          </w:p>
        </w:tc>
        <w:tc>
          <w:tcPr>
            <w:tcW w:type="dxa" w:w="3324"/>
            <w:vAlign w:val="center"/>
          </w:tcPr>
          <w:p>
            <w:r>
              <w:t>90</w:t>
            </w:r>
          </w:p>
        </w:tc>
        <w:tc>
          <w:tcPr>
            <w:tcW w:type="dxa" w:w="3324"/>
            <w:vAlign w:val="center"/>
          </w:tcPr>
          <w:p>
            <w:r>
              <w:t>s</w:t>
            </w:r>
          </w:p>
        </w:tc>
      </w:tr>
      <w:tr>
        <w:tc>
          <w:tcPr>
            <w:tcW w:type="dxa" w:w="3324"/>
            <w:vAlign w:val="center"/>
          </w:tcPr>
          <w:p>
            <w:r>
              <w:t>HP / DPS protagonista</w:t>
            </w:r>
          </w:p>
        </w:tc>
        <w:tc>
          <w:tcPr>
            <w:tcW w:type="dxa" w:w="3324"/>
            <w:vAlign w:val="center"/>
          </w:tcPr>
          <w:p>
            <w:r>
              <w:t>110 / 42</w:t>
            </w:r>
          </w:p>
        </w:tc>
        <w:tc>
          <w:tcPr>
            <w:tcW w:type="dxa" w:w="3324"/>
            <w:vAlign w:val="center"/>
          </w:tcPr>
          <w:p>
            <w:r>
              <w:t>HP / HP por s</w:t>
            </w:r>
          </w:p>
        </w:tc>
      </w:tr>
      <w:tr>
        <w:tc>
          <w:tcPr>
            <w:tcW w:type="dxa" w:w="3324"/>
            <w:vAlign w:val="center"/>
          </w:tcPr>
          <w:p>
            <w:r>
              <w:t>HP / velocidad / DPS infectado</w:t>
            </w:r>
          </w:p>
        </w:tc>
        <w:tc>
          <w:tcPr>
            <w:tcW w:type="dxa" w:w="3324"/>
            <w:vAlign w:val="center"/>
          </w:tcPr>
          <w:p>
            <w:r>
              <w:t>42 / 1.55 / 9.5</w:t>
            </w:r>
          </w:p>
        </w:tc>
        <w:tc>
          <w:tcPr>
            <w:tcW w:type="dxa" w:w="3324"/>
            <w:vAlign w:val="center"/>
          </w:tcPr>
          <w:p>
            <w:r>
              <w:t>HP / m por s / HP por s</w:t>
            </w:r>
          </w:p>
        </w:tc>
      </w:tr>
    </w:tbl>
    <w:p/>
    <w:p>
      <w:r>
        <w:t>La calibración evita un escenario saturado cerca de 100 %; no representa telemetría real y se acompaña de un barrido de tasas.</w:t>
      </w:r>
    </w:p>
    <w:p>
      <w:pPr>
        <w:sectPr>
          <w:headerReference w:type="default" r:id="rId9"/>
          <w:footerReference w:type="default" r:id="rId10"/>
          <w:pgSz w:w="12240" w:h="15840"/>
          <w:pgMar w:top="1020" w:right="1134" w:bottom="96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3. Validación y comparación de métodos</w:t>
      </w:r>
    </w:p>
    <w:p>
      <w:r>
        <w:t>La batería contiene 18 contrastes con corrección Holm: fuente uniforme (PCG64 y LCG propio), transformaciones, independencia, aceptación y conteo Poisson. Un contador uniforme pero predecible actúa como control negativo y falla las tres pruebas de dependencia.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6335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normal-method-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3354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B100D"/>
            <w:vAlign w:val="center"/>
          </w:tcPr>
          <w:p>
            <w:r>
              <w:rPr>
                <w:b/>
                <w:color w:val="9FE870"/>
              </w:rPr>
              <w:t>Método normal</w:t>
            </w:r>
          </w:p>
        </w:tc>
        <w:tc>
          <w:tcPr>
            <w:tcW w:type="dxa" w:w="2493"/>
            <w:shd w:fill="0B100D"/>
            <w:vAlign w:val="center"/>
          </w:tcPr>
          <w:p>
            <w:r>
              <w:rPr>
                <w:b/>
                <w:color w:val="9FE870"/>
              </w:rPr>
              <w:t>KS p</w:t>
            </w:r>
          </w:p>
        </w:tc>
        <w:tc>
          <w:tcPr>
            <w:tcW w:type="dxa" w:w="2493"/>
            <w:shd w:fill="0B100D"/>
            <w:vAlign w:val="center"/>
          </w:tcPr>
          <w:p>
            <w:r>
              <w:rPr>
                <w:b/>
                <w:color w:val="9FE870"/>
              </w:rPr>
              <w:t>Rechazo</w:t>
            </w:r>
          </w:p>
        </w:tc>
        <w:tc>
          <w:tcPr>
            <w:tcW w:type="dxa" w:w="2493"/>
            <w:shd w:fill="0B100D"/>
            <w:vAlign w:val="center"/>
          </w:tcPr>
          <w:p>
            <w:r>
              <w:rPr>
                <w:b/>
                <w:color w:val="9FE870"/>
              </w:rPr>
              <w:t>Puntaje / 5</w:t>
            </w:r>
          </w:p>
        </w:tc>
      </w:tr>
      <w:tr>
        <w:tc>
          <w:tcPr>
            <w:tcW w:type="dxa" w:w="2493"/>
            <w:vAlign w:val="center"/>
          </w:tcPr>
          <w:p>
            <w:r>
              <w:t>Marsaglia Polar</w:t>
            </w:r>
          </w:p>
        </w:tc>
        <w:tc>
          <w:tcPr>
            <w:tcW w:type="dxa" w:w="2493"/>
            <w:vAlign w:val="center"/>
          </w:tcPr>
          <w:p>
            <w:r>
              <w:t>0.1337</w:t>
            </w:r>
          </w:p>
        </w:tc>
        <w:tc>
          <w:tcPr>
            <w:tcW w:type="dxa" w:w="2493"/>
            <w:vAlign w:val="center"/>
          </w:tcPr>
          <w:p>
            <w:r>
              <w:t>21.8 %</w:t>
            </w:r>
          </w:p>
        </w:tc>
        <w:tc>
          <w:tcPr>
            <w:tcW w:type="dxa" w:w="2493"/>
            <w:vAlign w:val="center"/>
          </w:tcPr>
          <w:p>
            <w:r>
              <w:t>3.908</w:t>
            </w:r>
          </w:p>
        </w:tc>
      </w:tr>
      <w:tr>
        <w:tc>
          <w:tcPr>
            <w:tcW w:type="dxa" w:w="2493"/>
            <w:vAlign w:val="center"/>
          </w:tcPr>
          <w:p>
            <w:r>
              <w:t>Box--Muller</w:t>
            </w:r>
          </w:p>
        </w:tc>
        <w:tc>
          <w:tcPr>
            <w:tcW w:type="dxa" w:w="2493"/>
            <w:vAlign w:val="center"/>
          </w:tcPr>
          <w:p>
            <w:r>
              <w:t>0.3288</w:t>
            </w:r>
          </w:p>
        </w:tc>
        <w:tc>
          <w:tcPr>
            <w:tcW w:type="dxa" w:w="2493"/>
            <w:vAlign w:val="center"/>
          </w:tcPr>
          <w:p>
            <w:r>
              <w:t>0 %</w:t>
            </w:r>
          </w:p>
        </w:tc>
        <w:tc>
          <w:tcPr>
            <w:tcW w:type="dxa" w:w="2493"/>
            <w:vAlign w:val="center"/>
          </w:tcPr>
          <w:p>
            <w:r>
              <w:t>4.800</w:t>
            </w:r>
          </w:p>
        </w:tc>
      </w:tr>
    </w:tbl>
    <w:p/>
    <w:p>
      <w:r>
        <w:t>Ambos métodos son compatibles con N(0,1). La matriz favorece a Box-Muller en el equipo de referencia; no interpreta un valor p mayor como mejor ajuste.</w:t>
      </w:r>
    </w:p>
    <w:p>
      <w:pPr>
        <w:pStyle w:val="Heading1"/>
      </w:pPr>
      <w:r>
        <w:t>4. Resultado reproducible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B100D"/>
            <w:vAlign w:val="center"/>
          </w:tcPr>
          <w:p>
            <w:r>
              <w:rPr>
                <w:b/>
                <w:color w:val="9FE870"/>
              </w:rPr>
              <w:t>Métrica (400 corridas)</w:t>
            </w:r>
          </w:p>
        </w:tc>
        <w:tc>
          <w:tcPr>
            <w:tcW w:type="dxa" w:w="3324"/>
            <w:shd w:fill="0B100D"/>
            <w:vAlign w:val="center"/>
          </w:tcPr>
          <w:p>
            <w:r>
              <w:rPr>
                <w:b/>
                <w:color w:val="9FE870"/>
              </w:rPr>
              <w:t>Poisson</w:t>
            </w:r>
          </w:p>
        </w:tc>
        <w:tc>
          <w:tcPr>
            <w:tcW w:type="dxa" w:w="3324"/>
            <w:shd w:fill="0B100D"/>
            <w:vAlign w:val="center"/>
          </w:tcPr>
          <w:p>
            <w:r>
              <w:rPr>
                <w:b/>
                <w:color w:val="9FE870"/>
              </w:rPr>
              <w:t>Polar--lognormal</w:t>
            </w:r>
          </w:p>
        </w:tc>
      </w:tr>
      <w:tr>
        <w:tc>
          <w:tcPr>
            <w:tcW w:type="dxa" w:w="3324"/>
            <w:vAlign w:val="center"/>
          </w:tcPr>
          <w:p>
            <w:r>
              <w:t>Supervivencia</w:t>
            </w:r>
          </w:p>
        </w:tc>
        <w:tc>
          <w:tcPr>
            <w:tcW w:type="dxa" w:w="3324"/>
            <w:vAlign w:val="center"/>
          </w:tcPr>
          <w:p>
            <w:r>
              <w:t>35.2 %</w:t>
            </w:r>
          </w:p>
        </w:tc>
        <w:tc>
          <w:tcPr>
            <w:tcW w:type="dxa" w:w="3324"/>
            <w:vAlign w:val="center"/>
          </w:tcPr>
          <w:p>
            <w:r>
              <w:t>77.8 %</w:t>
            </w:r>
          </w:p>
        </w:tc>
      </w:tr>
      <w:tr>
        <w:tc>
          <w:tcPr>
            <w:tcW w:type="dxa" w:w="3324"/>
            <w:vAlign w:val="center"/>
          </w:tcPr>
          <w:p>
            <w:r>
              <w:t>IC Wilson 95 %</w:t>
            </w:r>
          </w:p>
        </w:tc>
        <w:tc>
          <w:tcPr>
            <w:tcW w:type="dxa" w:w="3324"/>
            <w:vAlign w:val="center"/>
          </w:tcPr>
          <w:p>
            <w:r>
              <w:t>[30.7, 40.1] %</w:t>
            </w:r>
          </w:p>
        </w:tc>
        <w:tc>
          <w:tcPr>
            <w:tcW w:type="dxa" w:w="3324"/>
            <w:vAlign w:val="center"/>
          </w:tcPr>
          <w:p>
            <w:r>
              <w:t>[73.4, 81.6] %</w:t>
            </w:r>
          </w:p>
        </w:tc>
      </w:tr>
      <w:tr>
        <w:tc>
          <w:tcPr>
            <w:tcW w:type="dxa" w:w="3324"/>
            <w:vAlign w:val="center"/>
          </w:tcPr>
          <w:p>
            <w:r>
              <w:t>Tiempo medio</w:t>
            </w:r>
          </w:p>
        </w:tc>
        <w:tc>
          <w:tcPr>
            <w:tcW w:type="dxa" w:w="3324"/>
            <w:vAlign w:val="center"/>
          </w:tcPr>
          <w:p>
            <w:r>
              <w:t>64.694 s</w:t>
            </w:r>
          </w:p>
        </w:tc>
        <w:tc>
          <w:tcPr>
            <w:tcW w:type="dxa" w:w="3324"/>
            <w:vAlign w:val="center"/>
          </w:tcPr>
          <w:p>
            <w:r>
              <w:t>83.666 s</w:t>
            </w:r>
          </w:p>
        </w:tc>
      </w:tr>
      <w:tr>
        <w:tc>
          <w:tcPr>
            <w:tcW w:type="dxa" w:w="3324"/>
            <w:vAlign w:val="center"/>
          </w:tcPr>
          <w:p>
            <w:r>
              <w:t>Pico activo medio</w:t>
            </w:r>
          </w:p>
        </w:tc>
        <w:tc>
          <w:tcPr>
            <w:tcW w:type="dxa" w:w="3324"/>
            <w:vAlign w:val="center"/>
          </w:tcPr>
          <w:p>
            <w:r>
              <w:t>14.220</w:t>
            </w:r>
          </w:p>
        </w:tc>
        <w:tc>
          <w:tcPr>
            <w:tcW w:type="dxa" w:w="3324"/>
            <w:vAlign w:val="center"/>
          </w:tcPr>
          <w:p>
            <w:r>
              <w:t>11.225</w:t>
            </w:r>
          </w:p>
        </w:tc>
      </w:tr>
    </w:tbl>
    <w:p/>
    <w:p>
      <w:r>
        <w:t>Efecto Poisson menos Polar: -42.5 puntos porcentuales, IC [-48.8, -35.8]. La conclusión es condicional al escenario; mayor supervivencia no equivale a mejor modelo.</w:t>
      </w:r>
    </w:p>
    <w:p>
      <w:pPr>
        <w:sectPr>
          <w:pgSz w:w="12240" w:h="15840"/>
          <w:pgMar w:top="1020" w:right="1134" w:bottom="96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5. Arquitectura, uso y entregables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B100D"/>
            <w:vAlign w:val="center"/>
          </w:tcPr>
          <w:p>
            <w:r>
              <w:rPr>
                <w:b/>
                <w:color w:val="9FE870"/>
              </w:rPr>
              <w:t>Ruta</w:t>
            </w:r>
          </w:p>
        </w:tc>
        <w:tc>
          <w:tcPr>
            <w:tcW w:type="dxa" w:w="4986"/>
            <w:shd w:fill="0B100D"/>
            <w:vAlign w:val="center"/>
          </w:tcPr>
          <w:p>
            <w:r>
              <w:rPr>
                <w:b/>
                <w:color w:val="9FE870"/>
              </w:rPr>
              <w:t>Responsabilidad</w:t>
            </w:r>
          </w:p>
        </w:tc>
      </w:tr>
      <w:tr>
        <w:tc>
          <w:tcPr>
            <w:tcW w:type="dxa" w:w="4986"/>
            <w:vAlign w:val="center"/>
          </w:tcPr>
          <w:p>
            <w:r>
              <w:t>App/simulation.py</w:t>
            </w:r>
          </w:p>
        </w:tc>
        <w:tc>
          <w:tcPr>
            <w:tcW w:type="dxa" w:w="4986"/>
            <w:vAlign w:val="center"/>
          </w:tcPr>
          <w:p>
            <w:r>
              <w:t>Motor, generadores, validación e inferencia</w:t>
            </w:r>
          </w:p>
        </w:tc>
      </w:tr>
      <w:tr>
        <w:tc>
          <w:tcPr>
            <w:tcW w:type="dxa" w:w="4986"/>
            <w:vAlign w:val="center"/>
          </w:tcPr>
          <w:p>
            <w:r>
              <w:t>App/visuals.py</w:t>
            </w:r>
          </w:p>
        </w:tc>
        <w:tc>
          <w:tcPr>
            <w:tcW w:type="dxa" w:w="4986"/>
            <w:vAlign w:val="center"/>
          </w:tcPr>
          <w:p>
            <w:r>
              <w:t>Gráficas Plotly y escena 3D</w:t>
            </w:r>
          </w:p>
        </w:tc>
      </w:tr>
      <w:tr>
        <w:tc>
          <w:tcPr>
            <w:tcW w:type="dxa" w:w="4986"/>
            <w:vAlign w:val="center"/>
          </w:tcPr>
          <w:p>
            <w:r>
              <w:t>App/app.py</w:t>
            </w:r>
          </w:p>
        </w:tc>
        <w:tc>
          <w:tcPr>
            <w:tcW w:type="dxa" w:w="4986"/>
            <w:vAlign w:val="center"/>
          </w:tcPr>
          <w:p>
            <w:r>
              <w:t>Interfaz, estado, controles y caché</w:t>
            </w:r>
          </w:p>
        </w:tc>
      </w:tr>
      <w:tr>
        <w:tc>
          <w:tcPr>
            <w:tcW w:type="dxa" w:w="4986"/>
            <w:vAlign w:val="center"/>
          </w:tcPr>
          <w:p>
            <w:r>
              <w:t>report/</w:t>
            </w:r>
          </w:p>
        </w:tc>
        <w:tc>
          <w:tcPr>
            <w:tcW w:type="dxa" w:w="4986"/>
            <w:vAlign w:val="center"/>
          </w:tcPr>
          <w:p>
            <w:r>
              <w:t>Informe, CSV, figuras y generador reproducible</w:t>
            </w:r>
          </w:p>
        </w:tc>
      </w:tr>
      <w:tr>
        <w:tc>
          <w:tcPr>
            <w:tcW w:type="dxa" w:w="4986"/>
            <w:vAlign w:val="center"/>
          </w:tcPr>
          <w:p>
            <w:r>
              <w:t>presentation/</w:t>
            </w:r>
          </w:p>
        </w:tc>
        <w:tc>
          <w:tcPr>
            <w:tcW w:type="dxa" w:w="4986"/>
            <w:vAlign w:val="center"/>
          </w:tcPr>
          <w:p>
            <w:r>
              <w:t>Presentación HTML, ficha y guion por integrante</w:t>
            </w:r>
          </w:p>
        </w:tc>
      </w:tr>
      <w:tr>
        <w:tc>
          <w:tcPr>
            <w:tcW w:type="dxa" w:w="4986"/>
            <w:vAlign w:val="center"/>
          </w:tcPr>
          <w:p>
            <w:r>
              <w:t>tests/</w:t>
            </w:r>
          </w:p>
        </w:tc>
        <w:tc>
          <w:tcPr>
            <w:tcW w:type="dxa" w:w="4986"/>
            <w:vAlign w:val="center"/>
          </w:tcPr>
          <w:p>
            <w:r>
              <w:t>28 pruebas de regresión y propiedades</w:t>
            </w:r>
          </w:p>
        </w:tc>
      </w:tr>
    </w:tbl>
    <w:p/>
    <w:p>
      <w:pPr>
        <w:pStyle w:val="Heading2"/>
      </w:pPr>
      <w:r>
        <w:t>Inicio rápido</w:t>
      </w:r>
    </w:p>
    <w:p>
      <w:r>
        <w:rPr>
          <w:rFonts w:ascii="Consolas" w:hAnsi="Consolas"/>
          <w:sz w:val="19"/>
        </w:rPr>
        <w:t>cd zombie_poisson_streamlit</w:t>
      </w:r>
    </w:p>
    <w:p>
      <w:r>
        <w:rPr>
          <w:rFonts w:ascii="Consolas" w:hAnsi="Consolas"/>
          <w:sz w:val="19"/>
        </w:rPr>
        <w:t>python -m venv .venv</w:t>
      </w:r>
    </w:p>
    <w:p>
      <w:r>
        <w:rPr>
          <w:rFonts w:ascii="Consolas" w:hAnsi="Consolas"/>
          <w:sz w:val="19"/>
        </w:rPr>
        <w:t>python -m pip install -r requirements/requirements.txt</w:t>
      </w:r>
    </w:p>
    <w:p>
      <w:r>
        <w:rPr>
          <w:rFonts w:ascii="Consolas" w:hAnsi="Consolas"/>
          <w:sz w:val="19"/>
        </w:rPr>
        <w:t>python -m streamlit run App/app.py</w:t>
      </w:r>
    </w:p>
    <w:p>
      <w:pPr>
        <w:pStyle w:val="Heading2"/>
      </w:pPr>
      <w:r>
        <w:t>Entregables</w:t>
      </w:r>
    </w:p>
    <w:p>
      <w:pPr>
        <w:pStyle w:val="ListBullet"/>
      </w:pPr>
      <w:r>
        <w:t>Aplicación Streamlit con botón SIMULAR MISIÓN y seis laboratorios.</w:t>
      </w:r>
    </w:p>
    <w:p>
      <w:pPr>
        <w:pStyle w:val="ListBullet"/>
      </w:pPr>
      <w:r>
        <w:t>README con teoría, instalación, resultados y limitaciones.</w:t>
      </w:r>
    </w:p>
    <w:p>
      <w:pPr>
        <w:pStyle w:val="ListBullet"/>
      </w:pPr>
      <w:r>
        <w:t>Informe LaTeX/PDF y CSV regenerables.</w:t>
      </w:r>
    </w:p>
    <w:p>
      <w:pPr>
        <w:pStyle w:val="ListBullet"/>
      </w:pPr>
      <w:r>
        <w:t>Presentación HTML offline y guion LaTeX/PDF dividido entre cinco integrantes.</w:t>
      </w:r>
    </w:p>
    <w:p>
      <w:pPr>
        <w:pStyle w:val="ListBullet"/>
      </w:pPr>
      <w:r>
        <w:t>Ficha DOCX editable y ficha PDF con fuentes versionadas.</w:t>
      </w:r>
    </w:p>
    <w:p>
      <w:pPr>
        <w:pStyle w:val="Heading2"/>
      </w:pPr>
      <w:r>
        <w:t>Integrantes</w:t>
      </w:r>
    </w:p>
    <w:p>
      <w:r>
        <w:t>Pablo Daniel Barillas Moreno · Jorge Palacios · Adrián Ricardo González Muralles · Andrés Rafael Chivalán · Javier Andrés Chen</w:t>
      </w:r>
    </w:p>
    <w:p>
      <w:r>
        <w:rPr>
          <w:b/>
        </w:rPr>
        <w:t xml:space="preserve">Repositorio: </w:t>
      </w:r>
      <w:hyperlink r:id="rId12">
        <w:r>
          <w:rPr>
            <w:color w:val="2E75B6"/>
            <w:u w:val="single"/>
          </w:rPr>
          <w:t>https://github.com/DanielBarillasM/Proyecto-1_Grupo-1_Modelacion-y-Simulacion_Sec-30</w:t>
        </w:r>
      </w:hyperlink>
    </w:p>
    <w:sectPr w:rsidR="00FC693F" w:rsidRPr="0006063C" w:rsidSect="00034616"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7068"/>
        <w:sz w:val="16"/>
      </w:rPr>
      <w:t>Proyecto 1 · Modelación y Simulación · Sección 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07068"/>
        <w:sz w:val="16"/>
      </w:rPr>
      <w:t>OUTBREAK  /  STOCHASTIC SURVIVAL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B100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00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67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00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github.com/DanielBarillasM/Proyecto-1_Grupo-1_Modelacion-y-Simulacion_Sec-30" TargetMode="External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técnica - Outbreak Stochastic Survival Lab</dc:title>
  <dc:subject>Proyecto 1 de Modelación y Simulación</dc:subject>
  <dc:creator>Grupo 1, Sección 30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