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A8C" w:rsidRDefault="00BB0411">
      <w:r>
        <w:t>TODO Titelblatt</w:t>
      </w:r>
    </w:p>
    <w:p w:rsidR="00BB0411" w:rsidRDefault="00BB0411">
      <w:r>
        <w:br w:type="page"/>
      </w:r>
    </w:p>
    <w:sdt>
      <w:sdtPr>
        <w:rPr>
          <w:lang w:val="de-DE"/>
        </w:rPr>
        <w:id w:val="113821746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B0411" w:rsidRDefault="00BB0411">
          <w:pPr>
            <w:pStyle w:val="Inhaltsverzeichnisberschrift"/>
          </w:pPr>
          <w:r>
            <w:rPr>
              <w:lang w:val="de-DE"/>
            </w:rPr>
            <w:t>Inhalt</w:t>
          </w:r>
        </w:p>
        <w:p w:rsidR="009225AA" w:rsidRDefault="00BB0411">
          <w:pPr>
            <w:pStyle w:val="Verzeichnis1"/>
            <w:tabs>
              <w:tab w:val="right" w:leader="dot" w:pos="9062"/>
            </w:tabs>
            <w:rPr>
              <w:noProof/>
            </w:rPr>
          </w:pPr>
          <w:r>
            <w:fldChar w:fldCharType="begin"/>
          </w:r>
          <w:r>
            <w:instrText xml:space="preserve"> TOC \o "1-3" \h \z \u </w:instrText>
          </w:r>
          <w:r>
            <w:fldChar w:fldCharType="separate"/>
          </w:r>
          <w:hyperlink w:anchor="_Toc477888249" w:history="1">
            <w:r w:rsidR="009225AA" w:rsidRPr="009B5483">
              <w:rPr>
                <w:rStyle w:val="Hyperlink"/>
                <w:noProof/>
              </w:rPr>
              <w:t>Kennzahlen</w:t>
            </w:r>
            <w:r w:rsidR="009225AA">
              <w:rPr>
                <w:noProof/>
                <w:webHidden/>
              </w:rPr>
              <w:tab/>
            </w:r>
            <w:r w:rsidR="009225AA">
              <w:rPr>
                <w:noProof/>
                <w:webHidden/>
              </w:rPr>
              <w:fldChar w:fldCharType="begin"/>
            </w:r>
            <w:r w:rsidR="009225AA">
              <w:rPr>
                <w:noProof/>
                <w:webHidden/>
              </w:rPr>
              <w:instrText xml:space="preserve"> PAGEREF _Toc477888249 \h </w:instrText>
            </w:r>
            <w:r w:rsidR="009225AA">
              <w:rPr>
                <w:noProof/>
                <w:webHidden/>
              </w:rPr>
            </w:r>
            <w:r w:rsidR="009225AA">
              <w:rPr>
                <w:noProof/>
                <w:webHidden/>
              </w:rPr>
              <w:fldChar w:fldCharType="separate"/>
            </w:r>
            <w:r w:rsidR="009225AA">
              <w:rPr>
                <w:noProof/>
                <w:webHidden/>
              </w:rPr>
              <w:t>3</w:t>
            </w:r>
            <w:r w:rsidR="009225AA">
              <w:rPr>
                <w:noProof/>
                <w:webHidden/>
              </w:rPr>
              <w:fldChar w:fldCharType="end"/>
            </w:r>
          </w:hyperlink>
        </w:p>
        <w:p w:rsidR="00BB0411" w:rsidRDefault="00BB0411">
          <w:r>
            <w:rPr>
              <w:b/>
              <w:bCs/>
              <w:lang w:val="de-DE"/>
            </w:rPr>
            <w:fldChar w:fldCharType="end"/>
          </w:r>
        </w:p>
      </w:sdtContent>
    </w:sdt>
    <w:p w:rsidR="00BB0411" w:rsidRDefault="00BB0411"/>
    <w:p w:rsidR="00BB0411" w:rsidRDefault="00BB0411">
      <w:r>
        <w:br w:type="page"/>
      </w:r>
    </w:p>
    <w:p w:rsidR="00BB0411" w:rsidRDefault="00BB0411" w:rsidP="009225AA">
      <w:pPr>
        <w:pStyle w:val="berschrift1"/>
      </w:pPr>
      <w:bookmarkStart w:id="0" w:name="_Toc477888249"/>
      <w:r>
        <w:lastRenderedPageBreak/>
        <w:t>Kennzahlen</w:t>
      </w:r>
      <w:bookmarkEnd w:id="0"/>
    </w:p>
    <w:p w:rsidR="00BB0411" w:rsidRDefault="00BB0411"/>
    <w:p w:rsidR="00BB0411" w:rsidRDefault="00BB0411">
      <w:r>
        <w:t>In der folgenden Analyse werden diverse projektspezifische Aspekte mittels Diagrammen veranschaulicht. Um eine korrekte Interpretation zu ermöglichen werden die dabei verwendeten Kennzahlen nun genauer erläutert.</w:t>
      </w:r>
    </w:p>
    <w:p w:rsidR="00BB0411" w:rsidRDefault="00BB0411"/>
    <w:p w:rsidR="00BB0411" w:rsidRDefault="00BB0411">
      <w:r>
        <w:t>Planned Value</w:t>
      </w:r>
      <w:r w:rsidR="002522C2">
        <w:t xml:space="preserve"> (PV)</w:t>
      </w:r>
    </w:p>
    <w:p w:rsidR="00BB0411" w:rsidRDefault="002522C2">
      <w:r>
        <w:t>Der Planned Value ist der Wert, von dem man annimmt, ihn zu einem gewissen zukünftigen Zeitpunkt erwirtschaftet zu haben.</w:t>
      </w:r>
    </w:p>
    <w:p w:rsidR="002522C2" w:rsidRDefault="002522C2">
      <w:r>
        <w:t>Beispiel: Ein Projekt hat eine Laufzeit von 10 Monaten und ist mit 10000 € budgetiert. Bei linearem Projektfortschritt wäre der Planned Value nach 6 Monaten (6 Monate/10 Monate) * 10000€ = 6000€.</w:t>
      </w:r>
    </w:p>
    <w:p w:rsidR="002522C2" w:rsidRDefault="002522C2"/>
    <w:p w:rsidR="002522C2" w:rsidRDefault="002522C2">
      <w:r>
        <w:t>Actual Costs (AC)</w:t>
      </w:r>
    </w:p>
    <w:p w:rsidR="002522C2" w:rsidRDefault="002522C2">
      <w:r>
        <w:t>Die Actual Costs umfassen alle bisher angefallenen Kosten. Sie werden daher auch als Istkosten bezeichnet.</w:t>
      </w:r>
    </w:p>
    <w:p w:rsidR="002522C2" w:rsidRDefault="002522C2"/>
    <w:p w:rsidR="002522C2" w:rsidRDefault="002522C2">
      <w:r>
        <w:t>Earned Value (EV)</w:t>
      </w:r>
    </w:p>
    <w:p w:rsidR="002522C2" w:rsidRDefault="002522C2">
      <w:r>
        <w:t xml:space="preserve">Der Earned Value repräsentiert jenen Wert, </w:t>
      </w:r>
      <w:r w:rsidR="00DF0A7A">
        <w:t xml:space="preserve">der bis zu einem Zeitpunkt geleisteten Arbeit. </w:t>
      </w:r>
    </w:p>
    <w:p w:rsidR="00C05723" w:rsidRDefault="00C05723">
      <w:r>
        <w:t>Formel: EV = (% der Fertigstellung * PV)</w:t>
      </w:r>
    </w:p>
    <w:p w:rsidR="00C05723" w:rsidRDefault="00C05723">
      <w:r>
        <w:t>Interpretation: Je höher der Earne</w:t>
      </w:r>
      <w:r w:rsidR="0008146D">
        <w:t xml:space="preserve">d Value ist, desto mehr hat das Projektteam </w:t>
      </w:r>
      <w:r>
        <w:t xml:space="preserve">bereits </w:t>
      </w:r>
      <w:r w:rsidR="0008146D">
        <w:t>geleistet</w:t>
      </w:r>
      <w:r>
        <w:t>. Ein hoher Earned Value wird angestrebt.</w:t>
      </w:r>
    </w:p>
    <w:p w:rsidR="002522C2" w:rsidRDefault="002522C2">
      <w:r>
        <w:t xml:space="preserve">Beispiel: Ein Projekt, das </w:t>
      </w:r>
      <w:r w:rsidR="00C05723">
        <w:t>nach 5 Monaten</w:t>
      </w:r>
      <w:r>
        <w:t xml:space="preserve"> einen Planned Value von 100.000€ hat ist </w:t>
      </w:r>
      <w:r w:rsidR="00C05723">
        <w:t>zu 80% fertiggestellt. Der Earned Value ist (80% * 100.000€) = 80.000€.</w:t>
      </w:r>
    </w:p>
    <w:p w:rsidR="00C05723" w:rsidRDefault="00C05723"/>
    <w:p w:rsidR="00C05723" w:rsidRDefault="00C05723"/>
    <w:p w:rsidR="00BB0411" w:rsidRDefault="00C05723">
      <w:r>
        <w:t>Cost Variance (CV)</w:t>
      </w:r>
    </w:p>
    <w:p w:rsidR="00C05723" w:rsidRDefault="00C05723">
      <w:r>
        <w:t>Die Cost Variance</w:t>
      </w:r>
      <w:r w:rsidR="008A3F4C">
        <w:t>(Kostenabweichung)</w:t>
      </w:r>
      <w:r>
        <w:t xml:space="preserve"> stellt die Differenz zwischen dem </w:t>
      </w:r>
      <w:r w:rsidR="0008146D">
        <w:t>Wert der bisher geleisteten Arbeit</w:t>
      </w:r>
      <w:r>
        <w:t xml:space="preserve"> (EV) und den aufgetretenen Kosten (AC) dar.</w:t>
      </w:r>
    </w:p>
    <w:p w:rsidR="00C05723" w:rsidRDefault="00C05723">
      <w:r>
        <w:t>Formel: CV = EV – AC</w:t>
      </w:r>
    </w:p>
    <w:p w:rsidR="00C05723" w:rsidRDefault="00C05723">
      <w:r>
        <w:t xml:space="preserve">Interpretation: </w:t>
      </w:r>
      <w:r w:rsidR="008A3F4C">
        <w:t>Eine positive Kostenabweichung gibt an, dass mit den angefallenen Kosten mehr Leistung gebracht wurde als ursprünglich geplant.</w:t>
      </w:r>
      <w:r>
        <w:t xml:space="preserve"> Eine hohe Cost Variance wird angestrebt.</w:t>
      </w:r>
    </w:p>
    <w:p w:rsidR="00C05723" w:rsidRDefault="00C05723" w:rsidP="00C05723">
      <w:r>
        <w:t xml:space="preserve">Beispiel: Ein Projekt, das nach 5 Monaten einen Planned Value von 100.000€ hat ist zu 80% fertiggestellt. </w:t>
      </w:r>
      <w:r>
        <w:t xml:space="preserve">Außerdem wurden bereits 30.000€ für Lohnkosten, Materialkosten, etc. ausgegeben. </w:t>
      </w:r>
      <w:r>
        <w:t>Der Earned Value ist (80% * 100.000€) = 80.000€.</w:t>
      </w:r>
      <w:r>
        <w:t xml:space="preserve"> Die Cost Variance beträgt 80.000€ – 30.000€ = 50.000€.</w:t>
      </w:r>
    </w:p>
    <w:p w:rsidR="00C05723" w:rsidRDefault="00C05723"/>
    <w:p w:rsidR="00C05723" w:rsidRDefault="00C05723">
      <w:r>
        <w:lastRenderedPageBreak/>
        <w:t>Schedule Variance (SV)</w:t>
      </w:r>
    </w:p>
    <w:p w:rsidR="00BB0411" w:rsidRDefault="00AD6F27">
      <w:r>
        <w:t xml:space="preserve">Die Schedule Variance ist ein Indikator dafür, wie das Projekt zeitlich dasteht. </w:t>
      </w:r>
      <w:r w:rsidR="0008146D" w:rsidRPr="0008146D">
        <w:t xml:space="preserve">Es wird bestimmt wie weit der aktuelle Fertigstellungsgrad von dem geplanten Fertigstellungsgrad abweicht. </w:t>
      </w:r>
    </w:p>
    <w:p w:rsidR="00C05723" w:rsidRDefault="00C05723">
      <w:r>
        <w:t xml:space="preserve">Formel: SV = EV </w:t>
      </w:r>
      <w:r w:rsidR="00435119">
        <w:t>–</w:t>
      </w:r>
      <w:r>
        <w:t xml:space="preserve"> PV</w:t>
      </w:r>
    </w:p>
    <w:p w:rsidR="00435119" w:rsidRDefault="00435119">
      <w:r>
        <w:t>Interpretation: Eine negative SV sagt aus, dass das Projekt zeitlich hinter dem verfolgten Plan hinterherhinkt. Eine positive SV hingegen beschreibt, dass der Projektzustand schneller erreicht war als erwartet. Eine hohe SV wird angestrebt.</w:t>
      </w:r>
    </w:p>
    <w:p w:rsidR="00435119" w:rsidRDefault="00435119"/>
    <w:p w:rsidR="00435119" w:rsidRDefault="00435119"/>
    <w:p w:rsidR="00435119" w:rsidRDefault="00435119">
      <w:r>
        <w:t>Cost Performance Index (CPI)</w:t>
      </w:r>
    </w:p>
    <w:p w:rsidR="00435119" w:rsidRDefault="00435119">
      <w:r>
        <w:t>Der Cost Performance Index stellt den EV und die AC in Relation.</w:t>
      </w:r>
    </w:p>
    <w:p w:rsidR="00435119" w:rsidRDefault="00435119">
      <w:r>
        <w:t xml:space="preserve">Formel: CPI = EV / AC </w:t>
      </w:r>
    </w:p>
    <w:p w:rsidR="00435119" w:rsidRDefault="00435119">
      <w:r>
        <w:t>Interpretation: Ist der CPI genau 1 deckt man mit dem bereits Erwirtschafteten genau die bisher angefallenen Kosten. Ein CPI &lt; 1 beschreibt, dass die angefallenen Kosten höher sind als das bereits Erwirtschaftete. Ein CPI &gt; 1 sagt aus, dass mehr erwirtschaftet wurde als Kosten angefallen sind. Ein hoher CPI wird angestrebt.</w:t>
      </w:r>
    </w:p>
    <w:p w:rsidR="00435119" w:rsidRDefault="00435119"/>
    <w:p w:rsidR="00435119" w:rsidRDefault="00435119"/>
    <w:p w:rsidR="00E22A20" w:rsidRDefault="00435119">
      <w:r>
        <w:t>Schedule Performance Index (</w:t>
      </w:r>
      <w:r w:rsidR="00E22A20">
        <w:t>SPI</w:t>
      </w:r>
      <w:r>
        <w:t>)</w:t>
      </w:r>
    </w:p>
    <w:p w:rsidR="00E22A20" w:rsidRDefault="00E22A20">
      <w:r>
        <w:t>Der Schedule Performance Index stellt den EV und den PV in Relation.</w:t>
      </w:r>
    </w:p>
    <w:p w:rsidR="00E22A20" w:rsidRDefault="00E22A20">
      <w:r>
        <w:t>Formel: SPI = EV / PV</w:t>
      </w:r>
    </w:p>
    <w:p w:rsidR="00435119" w:rsidRDefault="00E22A20">
      <w:r>
        <w:t xml:space="preserve">Interpretation: </w:t>
      </w:r>
      <w:r>
        <w:t xml:space="preserve">Ist der </w:t>
      </w:r>
      <w:r>
        <w:t>SPI</w:t>
      </w:r>
      <w:r>
        <w:t xml:space="preserve"> genau 1 </w:t>
      </w:r>
      <w:r>
        <w:t>liegt man genau im Zeitplan</w:t>
      </w:r>
      <w:r>
        <w:t xml:space="preserve">. Ein SPI &lt; 1 beschreibt, dass </w:t>
      </w:r>
      <w:r>
        <w:t>man hinter dem Plan hinterherhinkt</w:t>
      </w:r>
      <w:r>
        <w:t xml:space="preserve">. Ein SPI &gt; 1 sagt aus, dass </w:t>
      </w:r>
      <w:r>
        <w:t>man schneller ist als gedacht. Ein hoher SPI wird angestrebt.</w:t>
      </w:r>
    </w:p>
    <w:p w:rsidR="00E22A20" w:rsidRDefault="00E22A20"/>
    <w:p w:rsidR="00E22A20" w:rsidRDefault="00E22A20" w:rsidP="00E22A20">
      <w:r>
        <w:t>Budget at Completion (BAC)</w:t>
      </w:r>
    </w:p>
    <w:p w:rsidR="00E22A20" w:rsidRDefault="00E22A20">
      <w:r>
        <w:t>Das Budget at Completion entspricht dem geplanten Gesamtbudget und somit dem PV zum Projektende.</w:t>
      </w:r>
    </w:p>
    <w:p w:rsidR="00E22A20" w:rsidRDefault="00E22A20"/>
    <w:p w:rsidR="00E22A20" w:rsidRDefault="00E22A20">
      <w:r>
        <w:t>Estimate to Complete (ETC)</w:t>
      </w:r>
    </w:p>
    <w:p w:rsidR="009225AA" w:rsidRDefault="00E22A20">
      <w:r>
        <w:t>Der Estimate to Complete</w:t>
      </w:r>
      <w:r w:rsidR="009225AA">
        <w:t xml:space="preserve"> Wert</w:t>
      </w:r>
      <w:r>
        <w:t xml:space="preserve"> </w:t>
      </w:r>
      <w:r w:rsidR="009225AA">
        <w:t>beschreibt, wie viel an finanziellen Mitteln man bis zur Beendigung des Projektes noch aufbringen muss, wenn die Kosteneffizienz weiterhin so bleibt, wie bislang.</w:t>
      </w:r>
    </w:p>
    <w:p w:rsidR="009225AA" w:rsidRDefault="009225AA">
      <w:r>
        <w:t>Formel: ETC = (BAC - EV) / CPI</w:t>
      </w:r>
    </w:p>
    <w:p w:rsidR="009225AA" w:rsidRDefault="009225AA">
      <w:r>
        <w:t>Interpretation: Je höher der ETC ist, desto mehr an Leistung müssen wir noch aufwenden um das Projekt fertigzustellen. Ein niedriger ETC wird angestrebt.</w:t>
      </w:r>
    </w:p>
    <w:p w:rsidR="009225AA" w:rsidRDefault="009225AA"/>
    <w:p w:rsidR="009225AA" w:rsidRDefault="009225AA">
      <w:r>
        <w:lastRenderedPageBreak/>
        <w:t>Estimate at Completion (EAC)</w:t>
      </w:r>
    </w:p>
    <w:p w:rsidR="009225AA" w:rsidRDefault="009225AA" w:rsidP="009225AA">
      <w:r>
        <w:t xml:space="preserve">Der Estimate </w:t>
      </w:r>
      <w:r>
        <w:t>at Completion</w:t>
      </w:r>
      <w:r>
        <w:t xml:space="preserve"> Wert beschreibt</w:t>
      </w:r>
      <w:r>
        <w:t>, wie viel an finanziellen Mitteln man zum Beendigungszeitpunkt des Projektes in dieses investiert hätte, falls die Kosteneffizienz über das gesamte Projekt betrachtet so ausfiele wie zum aktuellen Zeitpunkt.</w:t>
      </w:r>
    </w:p>
    <w:p w:rsidR="00E22A20" w:rsidRDefault="009225AA">
      <w:r>
        <w:t>Formel: EAC = BAC / CPI</w:t>
      </w:r>
    </w:p>
    <w:p w:rsidR="009225AA" w:rsidRDefault="009225AA">
      <w:r>
        <w:t>Interpretation: Je höher der EAC ist, desto schwächer ist unsere Kosteneffizienz. Ein niedriger EAC wird angestrebt.</w:t>
      </w:r>
    </w:p>
    <w:p w:rsidR="00EA79F3" w:rsidRDefault="00EA79F3">
      <w:r>
        <w:br w:type="page"/>
      </w:r>
    </w:p>
    <w:p w:rsidR="00EA79F3" w:rsidRDefault="004F1B57" w:rsidP="004F1B57">
      <w:pPr>
        <w:pStyle w:val="berschrift1"/>
      </w:pPr>
      <w:r>
        <w:lastRenderedPageBreak/>
        <w:t>Projektsituation</w:t>
      </w:r>
    </w:p>
    <w:p w:rsidR="004F1B57" w:rsidRDefault="004F1B57"/>
    <w:p w:rsidR="004F1B57" w:rsidRDefault="004F1B57" w:rsidP="00411302">
      <w:pPr>
        <w:pStyle w:val="berschrift1"/>
      </w:pPr>
      <w:r>
        <w:t>Zusammenfassend</w:t>
      </w:r>
    </w:p>
    <w:p w:rsidR="004F1B57" w:rsidRDefault="004F1B57" w:rsidP="004F1B57"/>
    <w:p w:rsidR="004F49E5" w:rsidRDefault="004F49E5" w:rsidP="004F1B57">
      <w:r>
        <w:t>&lt;&lt;Einleitung&gt;&gt; etc</w:t>
      </w:r>
    </w:p>
    <w:p w:rsidR="004F1B57" w:rsidRDefault="004F1B57">
      <w:r>
        <w:t xml:space="preserve">&lt;&lt;Feiner ausdrücken&gt;&gt; Das Projekt hatte von Beginn an einen Planned Value von </w:t>
      </w:r>
      <w:r w:rsidRPr="008678C5">
        <w:rPr>
          <w:b/>
        </w:rPr>
        <w:t>1.500.000€</w:t>
      </w:r>
      <w:r>
        <w:t xml:space="preserve">, ist jedoch nur mit </w:t>
      </w:r>
      <w:r w:rsidRPr="008678C5">
        <w:rPr>
          <w:b/>
        </w:rPr>
        <w:t>1.250.000€</w:t>
      </w:r>
      <w:r>
        <w:t xml:space="preserve"> budgetiert. Es fehlten somit </w:t>
      </w:r>
      <w:r w:rsidRPr="008678C5">
        <w:rPr>
          <w:b/>
        </w:rPr>
        <w:t>250.000€</w:t>
      </w:r>
      <w:r>
        <w:t>. Das Projekt hätte unter diesen Bedingungen eigentlich nicht starten dürfen.</w:t>
      </w:r>
    </w:p>
    <w:p w:rsidR="004F1B57" w:rsidRDefault="004F1B57"/>
    <w:p w:rsidR="004F49E5" w:rsidRDefault="00D631DA">
      <w:r>
        <w:t xml:space="preserve">Weiterhin ist anzumerken, dass die Daten für den durchschnittlichen Stundensatz der Angestellten eventuell einer Anpassung unterzogen werden müssen. </w:t>
      </w:r>
      <w:r w:rsidR="004F49E5">
        <w:t xml:space="preserve">Die Planung wurde unter der Annahme getroffen, dass der durchschnittliche Stundensatz </w:t>
      </w:r>
      <w:r w:rsidR="004F49E5" w:rsidRPr="008678C5">
        <w:rPr>
          <w:b/>
        </w:rPr>
        <w:t>80€</w:t>
      </w:r>
      <w:r w:rsidR="004F49E5">
        <w:t xml:space="preserve"> beträgt. In den 7 Monaten, die bisher vergingen wurden jedoch stets </w:t>
      </w:r>
      <w:r w:rsidR="004F49E5" w:rsidRPr="008678C5">
        <w:rPr>
          <w:b/>
        </w:rPr>
        <w:t>85€</w:t>
      </w:r>
      <w:r w:rsidR="004F49E5">
        <w:t>/h ausbezahlt.</w:t>
      </w:r>
    </w:p>
    <w:p w:rsidR="00411302" w:rsidRDefault="00411302"/>
    <w:p w:rsidR="00411302" w:rsidRDefault="00411302" w:rsidP="00411302">
      <w:pPr>
        <w:pStyle w:val="berschrift2"/>
      </w:pPr>
      <w:r>
        <w:t>Aktueller Projektstatus</w:t>
      </w:r>
    </w:p>
    <w:p w:rsidR="00411302" w:rsidRDefault="00411302"/>
    <w:p w:rsidR="00411302" w:rsidRDefault="00411302">
      <w:r>
        <w:rPr>
          <w:noProof/>
          <w:lang w:eastAsia="de-AT"/>
        </w:rPr>
        <w:drawing>
          <wp:inline distT="0" distB="0" distL="0" distR="0" wp14:anchorId="2019174D" wp14:editId="7D9F99B8">
            <wp:extent cx="5334000" cy="2826605"/>
            <wp:effectExtent l="0" t="0" r="0" b="12065"/>
            <wp:docPr id="1" name="Diagramm 1">
              <a:extLst xmlns:a="http://schemas.openxmlformats.org/drawingml/2006/main">
                <a:ext uri="{FF2B5EF4-FFF2-40B4-BE49-F238E27FC236}">
                  <a16:creationId xmlns:a16="http://schemas.microsoft.com/office/drawing/2014/main" id="{5CBCDED1-B88A-4964-A21C-33B9BA2432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411302" w:rsidRDefault="00411302"/>
    <w:p w:rsidR="00411302" w:rsidRDefault="00411302">
      <w:r>
        <w:t xml:space="preserve">Wie in der Grafik zu erkennen übersteigen die Istkosten das bereits Erwirtschaftete, sowie das geplante Erwirtschaftete. </w:t>
      </w:r>
      <w:r w:rsidR="00293C41">
        <w:t xml:space="preserve">Speziell in den ersten vier Monaten fielen weitaus mehr Kosten an als erwartet. </w:t>
      </w:r>
    </w:p>
    <w:p w:rsidR="005257A4" w:rsidRDefault="005257A4"/>
    <w:p w:rsidR="005257A4" w:rsidRDefault="005257A4"/>
    <w:p w:rsidR="005257A4" w:rsidRDefault="005257A4"/>
    <w:p w:rsidR="005257A4" w:rsidRDefault="005257A4">
      <w:r>
        <w:rPr>
          <w:noProof/>
          <w:lang w:eastAsia="de-AT"/>
        </w:rPr>
        <w:lastRenderedPageBreak/>
        <w:drawing>
          <wp:inline distT="0" distB="0" distL="0" distR="0" wp14:anchorId="3F3A8DA4" wp14:editId="5323F14C">
            <wp:extent cx="5335362" cy="2824626"/>
            <wp:effectExtent l="0" t="0" r="17780" b="13970"/>
            <wp:docPr id="2" name="Diagramm 2">
              <a:extLst xmlns:a="http://schemas.openxmlformats.org/drawingml/2006/main">
                <a:ext uri="{FF2B5EF4-FFF2-40B4-BE49-F238E27FC236}">
                  <a16:creationId xmlns:a16="http://schemas.microsoft.com/office/drawing/2014/main" id="{522BC807-7022-4027-B823-16E80668F9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257A4" w:rsidRDefault="005257A4">
      <w:r>
        <w:t xml:space="preserve">Beispielsweise betrug die Cost Variance am Ende des vierten Monats </w:t>
      </w:r>
      <w:r w:rsidR="008678C5">
        <w:rPr>
          <w:b/>
        </w:rPr>
        <w:t>-</w:t>
      </w:r>
      <w:r w:rsidRPr="008678C5">
        <w:rPr>
          <w:b/>
        </w:rPr>
        <w:t>538.020€</w:t>
      </w:r>
      <w:r w:rsidRPr="008678C5">
        <w:t>.</w:t>
      </w:r>
      <w:r>
        <w:t xml:space="preserve">  In den letzten zwei Monaten konnte der EV stark zulegen und liegt nur noch </w:t>
      </w:r>
      <w:r w:rsidRPr="008678C5">
        <w:rPr>
          <w:b/>
        </w:rPr>
        <w:t>125.760€</w:t>
      </w:r>
      <w:r>
        <w:t xml:space="preserve"> hinter dem PV. Die aktuellen Kosten stiegen jedoch auch an übertreffen den EV um </w:t>
      </w:r>
      <w:r w:rsidRPr="008678C5">
        <w:rPr>
          <w:b/>
        </w:rPr>
        <w:t>271.510€.</w:t>
      </w:r>
    </w:p>
    <w:p w:rsidR="005257A4" w:rsidRDefault="005257A4"/>
    <w:p w:rsidR="005257A4" w:rsidRDefault="005257A4"/>
    <w:p w:rsidR="005257A4" w:rsidRDefault="005257A4">
      <w:r>
        <w:rPr>
          <w:noProof/>
          <w:lang w:eastAsia="de-AT"/>
        </w:rPr>
        <w:drawing>
          <wp:inline distT="0" distB="0" distL="0" distR="0" wp14:anchorId="268A9726" wp14:editId="35BA516E">
            <wp:extent cx="5335362" cy="2828845"/>
            <wp:effectExtent l="0" t="0" r="17780" b="10160"/>
            <wp:docPr id="3" name="Diagramm 3">
              <a:extLst xmlns:a="http://schemas.openxmlformats.org/drawingml/2006/main">
                <a:ext uri="{FF2B5EF4-FFF2-40B4-BE49-F238E27FC236}">
                  <a16:creationId xmlns:a16="http://schemas.microsoft.com/office/drawing/2014/main" id="{A09EE265-600E-4191-AB8D-14EE60DB03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257A4" w:rsidRDefault="005257A4">
      <w:r>
        <w:t>Dieser Trend spiegelt sich auch bei dem CPI, sowie dem SPI wieder.</w:t>
      </w:r>
      <w:r w:rsidR="00C4592B">
        <w:t xml:space="preserve"> Aufgrund der anfangs sehr hohen Diskrepanz zwischen EV und AC erreichte der CPI am Ende des 2. Monats einen Tiefpunkt von </w:t>
      </w:r>
      <w:r w:rsidR="00C4592B" w:rsidRPr="008678C5">
        <w:rPr>
          <w:b/>
        </w:rPr>
        <w:t>0,09</w:t>
      </w:r>
      <w:r w:rsidR="00C4592B">
        <w:t xml:space="preserve">. Auch der SPI sank auf </w:t>
      </w:r>
      <w:r w:rsidR="00C4592B" w:rsidRPr="008678C5">
        <w:rPr>
          <w:b/>
        </w:rPr>
        <w:t>0,19</w:t>
      </w:r>
      <w:r w:rsidR="00C4592B">
        <w:t xml:space="preserve">. Durch die kontinuierliche Steigerung des EV näherten sich diese beiden Kennzahlen jedoch wieder der Baseline an. Am Ende des 7. Monats betrug der CPI </w:t>
      </w:r>
      <w:r w:rsidR="00C4592B" w:rsidRPr="008678C5">
        <w:rPr>
          <w:b/>
        </w:rPr>
        <w:t>0,69</w:t>
      </w:r>
      <w:r w:rsidR="00C4592B">
        <w:t xml:space="preserve"> und der SPI </w:t>
      </w:r>
      <w:r w:rsidR="00C4592B" w:rsidRPr="008678C5">
        <w:rPr>
          <w:b/>
        </w:rPr>
        <w:t>0,83</w:t>
      </w:r>
      <w:r w:rsidR="00C4592B">
        <w:t>.</w:t>
      </w:r>
    </w:p>
    <w:p w:rsidR="00D7606F" w:rsidRDefault="00D7606F"/>
    <w:p w:rsidR="00D7606F" w:rsidRDefault="00D7606F"/>
    <w:p w:rsidR="00D7606F" w:rsidRDefault="00D7606F"/>
    <w:p w:rsidR="00D7606F" w:rsidRDefault="00D7606F">
      <w:r>
        <w:rPr>
          <w:noProof/>
          <w:lang w:eastAsia="de-AT"/>
        </w:rPr>
        <w:lastRenderedPageBreak/>
        <w:drawing>
          <wp:inline distT="0" distB="0" distL="0" distR="0" wp14:anchorId="64A78928" wp14:editId="70C8BE43">
            <wp:extent cx="5335362" cy="2825644"/>
            <wp:effectExtent l="0" t="0" r="17780" b="13335"/>
            <wp:docPr id="4" name="Diagramm 4">
              <a:extLst xmlns:a="http://schemas.openxmlformats.org/drawingml/2006/main">
                <a:ext uri="{FF2B5EF4-FFF2-40B4-BE49-F238E27FC236}">
                  <a16:creationId xmlns:a16="http://schemas.microsoft.com/office/drawing/2014/main" id="{CC1736F8-593F-4BEC-8DAB-5264195EA5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D7606F" w:rsidRPr="00D7606F" w:rsidRDefault="00D7606F" w:rsidP="00D7606F">
      <w:pPr>
        <w:rPr>
          <w:rFonts w:ascii="Arial" w:eastAsia="Times New Roman" w:hAnsi="Arial" w:cs="Arial"/>
          <w:bCs/>
          <w:color w:val="000000"/>
          <w:sz w:val="20"/>
          <w:szCs w:val="20"/>
          <w:lang w:eastAsia="de-AT"/>
        </w:rPr>
      </w:pPr>
      <w:r>
        <w:t xml:space="preserve">Aufgrund der beschriebenen schlechten Kosteneffizienz musste Ende des zweiten Monats davon ausgegangen werden, dass das Projekt </w:t>
      </w:r>
      <w:r w:rsidR="008678C5">
        <w:t xml:space="preserve">bei gleichbleibenden Umständen </w:t>
      </w:r>
      <w:r>
        <w:t xml:space="preserve">nur mit einem Budget von </w:t>
      </w:r>
      <w:r>
        <w:rPr>
          <w:rFonts w:ascii="Arial" w:eastAsia="Times New Roman" w:hAnsi="Arial" w:cs="Arial"/>
          <w:b/>
          <w:bCs/>
          <w:color w:val="000000"/>
          <w:sz w:val="20"/>
          <w:szCs w:val="20"/>
          <w:lang w:eastAsia="de-AT"/>
        </w:rPr>
        <w:t>17.349.</w:t>
      </w:r>
      <w:r w:rsidRPr="00D7606F">
        <w:rPr>
          <w:rFonts w:ascii="Arial" w:eastAsia="Times New Roman" w:hAnsi="Arial" w:cs="Arial"/>
          <w:b/>
          <w:bCs/>
          <w:color w:val="000000"/>
          <w:sz w:val="20"/>
          <w:szCs w:val="20"/>
          <w:lang w:eastAsia="de-AT"/>
        </w:rPr>
        <w:t>04</w:t>
      </w:r>
      <w:r>
        <w:rPr>
          <w:rFonts w:ascii="Arial" w:eastAsia="Times New Roman" w:hAnsi="Arial" w:cs="Arial"/>
          <w:b/>
          <w:bCs/>
          <w:color w:val="000000"/>
          <w:sz w:val="20"/>
          <w:szCs w:val="20"/>
          <w:lang w:eastAsia="de-AT"/>
        </w:rPr>
        <w:t xml:space="preserve">0€ </w:t>
      </w:r>
      <w:r>
        <w:rPr>
          <w:rFonts w:ascii="Arial" w:eastAsia="Times New Roman" w:hAnsi="Arial" w:cs="Arial"/>
          <w:bCs/>
          <w:color w:val="000000"/>
          <w:sz w:val="20"/>
          <w:szCs w:val="20"/>
          <w:lang w:eastAsia="de-AT"/>
        </w:rPr>
        <w:t>fertiggestellt werden könne.</w:t>
      </w:r>
      <w:r w:rsidR="008678C5">
        <w:rPr>
          <w:rFonts w:ascii="Arial" w:eastAsia="Times New Roman" w:hAnsi="Arial" w:cs="Arial"/>
          <w:bCs/>
          <w:color w:val="000000"/>
          <w:sz w:val="20"/>
          <w:szCs w:val="20"/>
          <w:lang w:eastAsia="de-AT"/>
        </w:rPr>
        <w:t xml:space="preserve"> Ende des 7. Monats errechnet sich ein geschätztes Gesamtbudget von </w:t>
      </w:r>
      <w:r w:rsidR="008678C5" w:rsidRPr="008678C5">
        <w:rPr>
          <w:rFonts w:ascii="Arial" w:eastAsia="Times New Roman" w:hAnsi="Arial" w:cs="Arial"/>
          <w:b/>
          <w:bCs/>
          <w:color w:val="000000"/>
          <w:sz w:val="20"/>
          <w:szCs w:val="20"/>
          <w:lang w:eastAsia="de-AT"/>
        </w:rPr>
        <w:t>2181910€</w:t>
      </w:r>
      <w:r w:rsidR="008678C5">
        <w:rPr>
          <w:rFonts w:ascii="Arial" w:eastAsia="Times New Roman" w:hAnsi="Arial" w:cs="Arial"/>
          <w:bCs/>
          <w:color w:val="000000"/>
          <w:sz w:val="20"/>
          <w:szCs w:val="20"/>
          <w:lang w:eastAsia="de-AT"/>
        </w:rPr>
        <w:t xml:space="preserve">. Außerdem müssen bei gleichbleibender Kosteneffizienz noch </w:t>
      </w:r>
      <w:r w:rsidR="008678C5" w:rsidRPr="008678C5">
        <w:rPr>
          <w:rFonts w:ascii="Arial" w:eastAsia="Times New Roman" w:hAnsi="Arial" w:cs="Arial"/>
          <w:b/>
          <w:bCs/>
          <w:color w:val="000000"/>
          <w:sz w:val="20"/>
          <w:szCs w:val="20"/>
          <w:lang w:eastAsia="de-AT"/>
        </w:rPr>
        <w:t xml:space="preserve">1313160€ </w:t>
      </w:r>
      <w:r w:rsidR="008678C5">
        <w:rPr>
          <w:rFonts w:ascii="Arial" w:eastAsia="Times New Roman" w:hAnsi="Arial" w:cs="Arial"/>
          <w:bCs/>
          <w:color w:val="000000"/>
          <w:sz w:val="20"/>
          <w:szCs w:val="20"/>
          <w:lang w:eastAsia="de-AT"/>
        </w:rPr>
        <w:t>investiert werden, um das Projekt fertigzustellen.</w:t>
      </w:r>
    </w:p>
    <w:p w:rsidR="00D7606F" w:rsidRDefault="00D7606F"/>
    <w:p w:rsidR="001B3433" w:rsidRDefault="001B3433"/>
    <w:p w:rsidR="001B3433" w:rsidRDefault="00F129EF">
      <w:r>
        <w:t>Beitrag zur Multiprojekt-Management-Vergleichstabelle</w:t>
      </w:r>
    </w:p>
    <w:p w:rsidR="00F129EF" w:rsidRDefault="00F129EF">
      <w:r>
        <w:rPr>
          <w:noProof/>
          <w:lang w:eastAsia="de-AT"/>
        </w:rPr>
        <w:drawing>
          <wp:inline distT="0" distB="0" distL="0" distR="0" wp14:anchorId="44438E0F" wp14:editId="255E88BF">
            <wp:extent cx="5760720" cy="1327785"/>
            <wp:effectExtent l="0" t="0" r="0" b="571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327785"/>
                    </a:xfrm>
                    <a:prstGeom prst="rect">
                      <a:avLst/>
                    </a:prstGeom>
                  </pic:spPr>
                </pic:pic>
              </a:graphicData>
            </a:graphic>
          </wp:inline>
        </w:drawing>
      </w:r>
    </w:p>
    <w:p w:rsidR="00F129EF" w:rsidRDefault="00F129EF"/>
    <w:p w:rsidR="00F129EF" w:rsidRDefault="00F129EF">
      <w:r>
        <w:t xml:space="preserve">Nach 7 Monaten </w:t>
      </w:r>
      <w:r w:rsidR="00B03919">
        <w:t>ist das Projekt zu 40%</w:t>
      </w:r>
      <w:r w:rsidR="00B03919">
        <w:rPr>
          <w:rStyle w:val="Funotenzeichen"/>
        </w:rPr>
        <w:footnoteReference w:id="1"/>
      </w:r>
      <w:r w:rsidR="00B03919">
        <w:t xml:space="preserve"> abgeschlossen. Die Anforderungsanalyse ist beinahe vollendet. Am meisten ist noch in der Verarbeitung der Materialkosten zu erledigen.</w:t>
      </w:r>
    </w:p>
    <w:p w:rsidR="00516993" w:rsidRDefault="00516993"/>
    <w:p w:rsidR="00516993" w:rsidRDefault="00516993"/>
    <w:p w:rsidR="00516993" w:rsidRDefault="00516993"/>
    <w:p w:rsidR="00516993" w:rsidRDefault="00516993" w:rsidP="00B62A94">
      <w:pPr>
        <w:pStyle w:val="berschrift2"/>
      </w:pPr>
      <w:r>
        <w:t>Schwachstellen (kritische Posten)</w:t>
      </w:r>
    </w:p>
    <w:p w:rsidR="00516993" w:rsidRDefault="00516993"/>
    <w:p w:rsidR="00B62A94" w:rsidRDefault="00B62A94">
      <w:bookmarkStart w:id="1" w:name="_GoBack"/>
      <w:bookmarkEnd w:id="1"/>
    </w:p>
    <w:p w:rsidR="00516993" w:rsidRDefault="00516993"/>
    <w:p w:rsidR="00516993" w:rsidRDefault="00516993"/>
    <w:p w:rsidR="004F1B57" w:rsidRDefault="00516993">
      <w:r>
        <w:t>Starke Posten</w:t>
      </w:r>
      <w:r w:rsidR="004F1B57">
        <w:br w:type="page"/>
      </w:r>
    </w:p>
    <w:p w:rsidR="004F1B57" w:rsidRDefault="004F1B57" w:rsidP="00411302">
      <w:pPr>
        <w:pStyle w:val="berschrift1"/>
      </w:pPr>
      <w:r>
        <w:lastRenderedPageBreak/>
        <w:t>Detailliert</w:t>
      </w:r>
    </w:p>
    <w:p w:rsidR="004F1B57" w:rsidRDefault="004F1B57" w:rsidP="004F1B57"/>
    <w:p w:rsidR="004F1B57" w:rsidRPr="004F1B57" w:rsidRDefault="004F1B57" w:rsidP="004F1B57"/>
    <w:sectPr w:rsidR="004F1B57" w:rsidRPr="004F1B5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565B" w:rsidRDefault="006B565B" w:rsidP="00B03919">
      <w:pPr>
        <w:spacing w:after="0" w:line="240" w:lineRule="auto"/>
      </w:pPr>
      <w:r>
        <w:separator/>
      </w:r>
    </w:p>
  </w:endnote>
  <w:endnote w:type="continuationSeparator" w:id="0">
    <w:p w:rsidR="006B565B" w:rsidRDefault="006B565B" w:rsidP="00B039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565B" w:rsidRDefault="006B565B" w:rsidP="00B03919">
      <w:pPr>
        <w:spacing w:after="0" w:line="240" w:lineRule="auto"/>
      </w:pPr>
      <w:r>
        <w:separator/>
      </w:r>
    </w:p>
  </w:footnote>
  <w:footnote w:type="continuationSeparator" w:id="0">
    <w:p w:rsidR="006B565B" w:rsidRDefault="006B565B" w:rsidP="00B03919">
      <w:pPr>
        <w:spacing w:after="0" w:line="240" w:lineRule="auto"/>
      </w:pPr>
      <w:r>
        <w:continuationSeparator/>
      </w:r>
    </w:p>
  </w:footnote>
  <w:footnote w:id="1">
    <w:p w:rsidR="00B03919" w:rsidRDefault="00B03919">
      <w:pPr>
        <w:pStyle w:val="Funotentext"/>
      </w:pPr>
      <w:r>
        <w:rPr>
          <w:rStyle w:val="Funotenzeichen"/>
        </w:rPr>
        <w:footnoteRef/>
      </w:r>
      <w:r>
        <w:t xml:space="preserve"> Als Berechnungsgrundlage wurde der Erwartungswert der einzelnen Fertigstellungsgrade herangezogen. Für p wurde der relative Beitrag des Postens zum BAC gewählt.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2F78"/>
    <w:rsid w:val="0008146D"/>
    <w:rsid w:val="001B3433"/>
    <w:rsid w:val="00231628"/>
    <w:rsid w:val="002522C2"/>
    <w:rsid w:val="00293C41"/>
    <w:rsid w:val="002F4C2C"/>
    <w:rsid w:val="00410CFF"/>
    <w:rsid w:val="00411302"/>
    <w:rsid w:val="00435119"/>
    <w:rsid w:val="004F1B57"/>
    <w:rsid w:val="004F49E5"/>
    <w:rsid w:val="00516993"/>
    <w:rsid w:val="005257A4"/>
    <w:rsid w:val="006B565B"/>
    <w:rsid w:val="008678C5"/>
    <w:rsid w:val="008A3F4C"/>
    <w:rsid w:val="009225AA"/>
    <w:rsid w:val="00A1268E"/>
    <w:rsid w:val="00AD6F27"/>
    <w:rsid w:val="00B03919"/>
    <w:rsid w:val="00B62A94"/>
    <w:rsid w:val="00BB0411"/>
    <w:rsid w:val="00C05723"/>
    <w:rsid w:val="00C4592B"/>
    <w:rsid w:val="00D631DA"/>
    <w:rsid w:val="00D7606F"/>
    <w:rsid w:val="00DF0A7A"/>
    <w:rsid w:val="00E22A20"/>
    <w:rsid w:val="00EA79F3"/>
    <w:rsid w:val="00F02F78"/>
    <w:rsid w:val="00F129E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3ECB4"/>
  <w15:chartTrackingRefBased/>
  <w15:docId w15:val="{C3BD2E53-1C1D-4927-97B5-5EAE3A4FC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B04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F1B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B0411"/>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BB0411"/>
    <w:pPr>
      <w:outlineLvl w:val="9"/>
    </w:pPr>
    <w:rPr>
      <w:lang w:eastAsia="de-AT"/>
    </w:rPr>
  </w:style>
  <w:style w:type="paragraph" w:styleId="Verzeichnis1">
    <w:name w:val="toc 1"/>
    <w:basedOn w:val="Standard"/>
    <w:next w:val="Standard"/>
    <w:autoRedefine/>
    <w:uiPriority w:val="39"/>
    <w:unhideWhenUsed/>
    <w:rsid w:val="009225AA"/>
    <w:pPr>
      <w:spacing w:after="100"/>
    </w:pPr>
  </w:style>
  <w:style w:type="character" w:styleId="Hyperlink">
    <w:name w:val="Hyperlink"/>
    <w:basedOn w:val="Absatz-Standardschriftart"/>
    <w:uiPriority w:val="99"/>
    <w:unhideWhenUsed/>
    <w:rsid w:val="009225AA"/>
    <w:rPr>
      <w:color w:val="0563C1" w:themeColor="hyperlink"/>
      <w:u w:val="single"/>
    </w:rPr>
  </w:style>
  <w:style w:type="character" w:customStyle="1" w:styleId="berschrift2Zchn">
    <w:name w:val="Überschrift 2 Zchn"/>
    <w:basedOn w:val="Absatz-Standardschriftart"/>
    <w:link w:val="berschrift2"/>
    <w:uiPriority w:val="9"/>
    <w:rsid w:val="004F1B57"/>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Absatz-Standardschriftart"/>
    <w:rsid w:val="0008146D"/>
  </w:style>
  <w:style w:type="paragraph" w:styleId="Funotentext">
    <w:name w:val="footnote text"/>
    <w:basedOn w:val="Standard"/>
    <w:link w:val="FunotentextZchn"/>
    <w:uiPriority w:val="99"/>
    <w:semiHidden/>
    <w:unhideWhenUsed/>
    <w:rsid w:val="00B03919"/>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03919"/>
    <w:rPr>
      <w:sz w:val="20"/>
      <w:szCs w:val="20"/>
    </w:rPr>
  </w:style>
  <w:style w:type="character" w:styleId="Funotenzeichen">
    <w:name w:val="footnote reference"/>
    <w:basedOn w:val="Absatz-Standardschriftart"/>
    <w:uiPriority w:val="99"/>
    <w:semiHidden/>
    <w:unhideWhenUsed/>
    <w:rsid w:val="00B0391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6532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aniel\Documents\Karriere\TU\2017SS\SwPBC\swpbc\Lab1\Erster%20Entwurf%20Christian.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scatterChart>
        <c:scatterStyle val="smoothMarker"/>
        <c:varyColors val="0"/>
        <c:ser>
          <c:idx val="0"/>
          <c:order val="0"/>
          <c:tx>
            <c:strRef>
              <c:f>Kennzahlen!$A$1</c:f>
              <c:strCache>
                <c:ptCount val="1"/>
                <c:pt idx="0">
                  <c:v>PV (Planned Value)</c:v>
                </c:pt>
              </c:strCache>
            </c:strRef>
          </c:tx>
          <c:spPr>
            <a:ln w="19050" cap="rnd">
              <a:solidFill>
                <a:schemeClr val="accent1"/>
              </a:solidFill>
              <a:round/>
            </a:ln>
            <a:effectLst/>
          </c:spPr>
          <c:marker>
            <c:symbol val="x"/>
            <c:size val="5"/>
            <c:spPr>
              <a:noFill/>
              <a:ln w="9525">
                <a:solidFill>
                  <a:schemeClr val="accent1"/>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Kennzahlen!$C$11:$I$11</c:f>
              <c:numCache>
                <c:formatCode>#,##0\ "€"</c:formatCode>
                <c:ptCount val="7"/>
                <c:pt idx="0">
                  <c:v>80000</c:v>
                </c:pt>
                <c:pt idx="1">
                  <c:v>160000</c:v>
                </c:pt>
                <c:pt idx="2">
                  <c:v>261000</c:v>
                </c:pt>
                <c:pt idx="3">
                  <c:v>350000</c:v>
                </c:pt>
                <c:pt idx="4">
                  <c:v>467000</c:v>
                </c:pt>
                <c:pt idx="5">
                  <c:v>604000</c:v>
                </c:pt>
                <c:pt idx="6">
                  <c:v>723000</c:v>
                </c:pt>
              </c:numCache>
            </c:numRef>
          </c:yVal>
          <c:smooth val="0"/>
          <c:extLst>
            <c:ext xmlns:c16="http://schemas.microsoft.com/office/drawing/2014/chart" uri="{C3380CC4-5D6E-409C-BE32-E72D297353CC}">
              <c16:uniqueId val="{00000000-81FE-4975-BEF7-55EE72552507}"/>
            </c:ext>
          </c:extLst>
        </c:ser>
        <c:ser>
          <c:idx val="1"/>
          <c:order val="1"/>
          <c:tx>
            <c:strRef>
              <c:f>Kennzahlen!$A$14</c:f>
              <c:strCache>
                <c:ptCount val="1"/>
                <c:pt idx="0">
                  <c:v>AC (Actual Cost)</c:v>
                </c:pt>
              </c:strCache>
            </c:strRef>
          </c:tx>
          <c:spPr>
            <a:ln w="19050" cap="rnd">
              <a:solidFill>
                <a:schemeClr val="accent2"/>
              </a:solidFill>
              <a:round/>
            </a:ln>
            <a:effectLst/>
          </c:spPr>
          <c:marker>
            <c:symbol val="x"/>
            <c:size val="5"/>
            <c:spPr>
              <a:noFill/>
              <a:ln w="9525">
                <a:solidFill>
                  <a:schemeClr val="accent2"/>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Kennzahlen!$C$24:$I$24</c:f>
              <c:numCache>
                <c:formatCode>#,##0\ "€"</c:formatCode>
                <c:ptCount val="7"/>
                <c:pt idx="0">
                  <c:v>83600</c:v>
                </c:pt>
                <c:pt idx="1">
                  <c:v>348600</c:v>
                </c:pt>
                <c:pt idx="2">
                  <c:v>565900</c:v>
                </c:pt>
                <c:pt idx="3">
                  <c:v>677900</c:v>
                </c:pt>
                <c:pt idx="4">
                  <c:v>717150</c:v>
                </c:pt>
                <c:pt idx="5">
                  <c:v>786800</c:v>
                </c:pt>
                <c:pt idx="6">
                  <c:v>868750</c:v>
                </c:pt>
              </c:numCache>
            </c:numRef>
          </c:yVal>
          <c:smooth val="0"/>
          <c:extLst>
            <c:ext xmlns:c16="http://schemas.microsoft.com/office/drawing/2014/chart" uri="{C3380CC4-5D6E-409C-BE32-E72D297353CC}">
              <c16:uniqueId val="{00000001-81FE-4975-BEF7-55EE72552507}"/>
            </c:ext>
          </c:extLst>
        </c:ser>
        <c:ser>
          <c:idx val="2"/>
          <c:order val="2"/>
          <c:tx>
            <c:strRef>
              <c:f>Kennzahlen!$A$27</c:f>
              <c:strCache>
                <c:ptCount val="1"/>
                <c:pt idx="0">
                  <c:v>EV (Earned Value)</c:v>
                </c:pt>
              </c:strCache>
            </c:strRef>
          </c:tx>
          <c:spPr>
            <a:ln w="19050" cap="rnd">
              <a:solidFill>
                <a:schemeClr val="accent3"/>
              </a:solidFill>
              <a:round/>
            </a:ln>
            <a:effectLst/>
          </c:spPr>
          <c:marker>
            <c:symbol val="x"/>
            <c:size val="5"/>
            <c:spPr>
              <a:noFill/>
              <a:ln w="9525">
                <a:solidFill>
                  <a:schemeClr val="accent3"/>
                </a:solidFill>
              </a:ln>
              <a:effectLst/>
            </c:spPr>
          </c:marker>
          <c:xVal>
            <c:strRef>
              <c:f>Kennzahlen!$C$29:$I$29</c:f>
              <c:strCache>
                <c:ptCount val="7"/>
                <c:pt idx="0">
                  <c:v>1</c:v>
                </c:pt>
                <c:pt idx="1">
                  <c:v>2</c:v>
                </c:pt>
                <c:pt idx="2">
                  <c:v>3</c:v>
                </c:pt>
                <c:pt idx="3">
                  <c:v>4</c:v>
                </c:pt>
                <c:pt idx="4">
                  <c:v>5</c:v>
                </c:pt>
                <c:pt idx="5">
                  <c:v>6</c:v>
                </c:pt>
                <c:pt idx="6">
                  <c:v>7</c:v>
                </c:pt>
              </c:strCache>
            </c:strRef>
          </c:xVal>
          <c:yVal>
            <c:numRef>
              <c:f>Kennzahlen!$C$37:$I$37</c:f>
              <c:numCache>
                <c:formatCode>#,##0\ "€"</c:formatCode>
                <c:ptCount val="7"/>
                <c:pt idx="0">
                  <c:v>83320</c:v>
                </c:pt>
                <c:pt idx="1">
                  <c:v>30140</c:v>
                </c:pt>
                <c:pt idx="2">
                  <c:v>72860</c:v>
                </c:pt>
                <c:pt idx="3">
                  <c:v>139880</c:v>
                </c:pt>
                <c:pt idx="4">
                  <c:v>209400</c:v>
                </c:pt>
                <c:pt idx="5">
                  <c:v>349520</c:v>
                </c:pt>
                <c:pt idx="6">
                  <c:v>597240</c:v>
                </c:pt>
              </c:numCache>
            </c:numRef>
          </c:yVal>
          <c:smooth val="0"/>
          <c:extLst>
            <c:ext xmlns:c16="http://schemas.microsoft.com/office/drawing/2014/chart" uri="{C3380CC4-5D6E-409C-BE32-E72D297353CC}">
              <c16:uniqueId val="{00000002-81FE-4975-BEF7-55EE72552507}"/>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5314559638378542"/>
          <c:y val="0.15941065313967398"/>
          <c:w val="0.22107702682997959"/>
          <c:h val="0.31593837837264138"/>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4752775912862148"/>
          <c:h val="0.63607469195406019"/>
        </c:manualLayout>
      </c:layout>
      <c:scatterChart>
        <c:scatterStyle val="smoothMarker"/>
        <c:varyColors val="0"/>
        <c:ser>
          <c:idx val="0"/>
          <c:order val="0"/>
          <c:tx>
            <c:strRef>
              <c:f>Kennzahlen!$A$40</c:f>
              <c:strCache>
                <c:ptCount val="1"/>
                <c:pt idx="0">
                  <c:v>CV (Cost Variance)</c:v>
                </c:pt>
              </c:strCache>
            </c:strRef>
          </c:tx>
          <c:spPr>
            <a:ln w="19050" cap="rnd">
              <a:solidFill>
                <a:schemeClr val="accent1">
                  <a:lumMod val="75000"/>
                </a:schemeClr>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Kennzahlen!$C$50:$I$50</c:f>
              <c:numCache>
                <c:formatCode>#,##0\ "€"</c:formatCode>
                <c:ptCount val="7"/>
                <c:pt idx="0">
                  <c:v>-280</c:v>
                </c:pt>
                <c:pt idx="1">
                  <c:v>-318460</c:v>
                </c:pt>
                <c:pt idx="2">
                  <c:v>-493040</c:v>
                </c:pt>
                <c:pt idx="3">
                  <c:v>-538020</c:v>
                </c:pt>
                <c:pt idx="4">
                  <c:v>-507750</c:v>
                </c:pt>
                <c:pt idx="5">
                  <c:v>-437280</c:v>
                </c:pt>
                <c:pt idx="6">
                  <c:v>-271510</c:v>
                </c:pt>
              </c:numCache>
            </c:numRef>
          </c:yVal>
          <c:smooth val="0"/>
          <c:extLst>
            <c:ext xmlns:c16="http://schemas.microsoft.com/office/drawing/2014/chart" uri="{C3380CC4-5D6E-409C-BE32-E72D297353CC}">
              <c16:uniqueId val="{00000000-95AA-4DD3-B108-A8830F2019EC}"/>
            </c:ext>
          </c:extLst>
        </c:ser>
        <c:ser>
          <c:idx val="1"/>
          <c:order val="1"/>
          <c:tx>
            <c:strRef>
              <c:f>Kennzahlen!$A$53</c:f>
              <c:strCache>
                <c:ptCount val="1"/>
                <c:pt idx="0">
                  <c:v>SV (Schedule Variance)</c:v>
                </c:pt>
              </c:strCache>
            </c:strRef>
          </c:tx>
          <c:spPr>
            <a:ln w="19050" cap="rnd">
              <a:solidFill>
                <a:schemeClr val="accent2">
                  <a:lumMod val="75000"/>
                </a:schemeClr>
              </a:solidFill>
              <a:round/>
            </a:ln>
            <a:effectLst/>
          </c:spPr>
          <c:marker>
            <c:symbol val="x"/>
            <c:size val="5"/>
            <c:spPr>
              <a:noFill/>
              <a:ln w="9525">
                <a:solidFill>
                  <a:schemeClr val="accent2">
                    <a:lumMod val="75000"/>
                  </a:schemeClr>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Kennzahlen!$C$63:$I$63</c:f>
              <c:numCache>
                <c:formatCode>#,##0\ "€"</c:formatCode>
                <c:ptCount val="7"/>
                <c:pt idx="0">
                  <c:v>3320</c:v>
                </c:pt>
                <c:pt idx="1">
                  <c:v>-129860</c:v>
                </c:pt>
                <c:pt idx="2">
                  <c:v>-188140</c:v>
                </c:pt>
                <c:pt idx="3">
                  <c:v>-210120</c:v>
                </c:pt>
                <c:pt idx="4">
                  <c:v>-257600</c:v>
                </c:pt>
                <c:pt idx="5">
                  <c:v>-254480</c:v>
                </c:pt>
                <c:pt idx="6">
                  <c:v>-125760</c:v>
                </c:pt>
              </c:numCache>
            </c:numRef>
          </c:yVal>
          <c:smooth val="0"/>
          <c:extLst>
            <c:ext xmlns:c16="http://schemas.microsoft.com/office/drawing/2014/chart" uri="{C3380CC4-5D6E-409C-BE32-E72D297353CC}">
              <c16:uniqueId val="{00000001-95AA-4DD3-B108-A8830F2019EC}"/>
            </c:ext>
          </c:extLst>
        </c:ser>
        <c:ser>
          <c:idx val="2"/>
          <c:order val="2"/>
          <c:tx>
            <c:strRef>
              <c:f>Kennzahlen!$N$40</c:f>
              <c:strCache>
                <c:ptCount val="1"/>
                <c:pt idx="0">
                  <c:v>Baseline</c:v>
                </c:pt>
              </c:strCache>
            </c:strRef>
          </c:tx>
          <c:spPr>
            <a:ln w="19050" cap="rnd">
              <a:solidFill>
                <a:schemeClr val="tx1"/>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Kennzahlen!$N$43:$T$43</c:f>
              <c:numCache>
                <c:formatCode>General</c:formatCode>
                <c:ptCount val="7"/>
                <c:pt idx="0">
                  <c:v>0</c:v>
                </c:pt>
                <c:pt idx="1">
                  <c:v>0</c:v>
                </c:pt>
                <c:pt idx="2">
                  <c:v>0</c:v>
                </c:pt>
                <c:pt idx="3">
                  <c:v>0</c:v>
                </c:pt>
                <c:pt idx="4">
                  <c:v>0</c:v>
                </c:pt>
                <c:pt idx="5">
                  <c:v>0</c:v>
                </c:pt>
                <c:pt idx="6">
                  <c:v>0</c:v>
                </c:pt>
              </c:numCache>
            </c:numRef>
          </c:yVal>
          <c:smooth val="1"/>
          <c:extLst>
            <c:ext xmlns:c16="http://schemas.microsoft.com/office/drawing/2014/chart" uri="{C3380CC4-5D6E-409C-BE32-E72D297353CC}">
              <c16:uniqueId val="{00000002-95AA-4DD3-B108-A8830F2019EC}"/>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 &quot;€&quot;"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3179916676785368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7.4294564221132536E-2"/>
          <c:y val="0.16563310728177633"/>
          <c:w val="0.69513460558686635"/>
          <c:h val="0.63607469195406019"/>
        </c:manualLayout>
      </c:layout>
      <c:scatterChart>
        <c:scatterStyle val="smoothMarker"/>
        <c:varyColors val="0"/>
        <c:ser>
          <c:idx val="0"/>
          <c:order val="0"/>
          <c:tx>
            <c:strRef>
              <c:f>Kennzahlen!$A$66</c:f>
              <c:strCache>
                <c:ptCount val="1"/>
                <c:pt idx="0">
                  <c:v>CPI (Cost Performance Index)</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Kennzahlen!$C$76:$I$76</c:f>
              <c:numCache>
                <c:formatCode>0.00</c:formatCode>
                <c:ptCount val="7"/>
                <c:pt idx="0">
                  <c:v>0.99665071770334923</c:v>
                </c:pt>
                <c:pt idx="1">
                  <c:v>8.6460126219162367E-2</c:v>
                </c:pt>
                <c:pt idx="2">
                  <c:v>0.12875066266124757</c:v>
                </c:pt>
                <c:pt idx="3">
                  <c:v>0.20634311845404926</c:v>
                </c:pt>
                <c:pt idx="4">
                  <c:v>0.29198912361430662</c:v>
                </c:pt>
                <c:pt idx="5">
                  <c:v>0.44422979156075243</c:v>
                </c:pt>
                <c:pt idx="6">
                  <c:v>0.68747050359712225</c:v>
                </c:pt>
              </c:numCache>
            </c:numRef>
          </c:yVal>
          <c:smooth val="0"/>
          <c:extLst>
            <c:ext xmlns:c16="http://schemas.microsoft.com/office/drawing/2014/chart" uri="{C3380CC4-5D6E-409C-BE32-E72D297353CC}">
              <c16:uniqueId val="{00000000-8BE1-4284-B8B6-C897A04FAC4E}"/>
            </c:ext>
          </c:extLst>
        </c:ser>
        <c:ser>
          <c:idx val="1"/>
          <c:order val="1"/>
          <c:tx>
            <c:strRef>
              <c:f>Kennzahlen!$A$79</c:f>
              <c:strCache>
                <c:ptCount val="1"/>
                <c:pt idx="0">
                  <c:v>SPI (Schedule Performance Index)</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Kennzahlen!$C$89:$I$89</c:f>
              <c:numCache>
                <c:formatCode>0.00</c:formatCode>
                <c:ptCount val="7"/>
                <c:pt idx="0">
                  <c:v>1.0415000000000001</c:v>
                </c:pt>
                <c:pt idx="1">
                  <c:v>0.18837499999999999</c:v>
                </c:pt>
                <c:pt idx="2">
                  <c:v>0.27915708812260537</c:v>
                </c:pt>
                <c:pt idx="3">
                  <c:v>0.39965714285714288</c:v>
                </c:pt>
                <c:pt idx="4">
                  <c:v>0.44839400428265525</c:v>
                </c:pt>
                <c:pt idx="5">
                  <c:v>0.57867549668874174</c:v>
                </c:pt>
                <c:pt idx="6">
                  <c:v>0.82605809128630703</c:v>
                </c:pt>
              </c:numCache>
            </c:numRef>
          </c:yVal>
          <c:smooth val="0"/>
          <c:extLst>
            <c:ext xmlns:c16="http://schemas.microsoft.com/office/drawing/2014/chart" uri="{C3380CC4-5D6E-409C-BE32-E72D297353CC}">
              <c16:uniqueId val="{00000001-8BE1-4284-B8B6-C897A04FAC4E}"/>
            </c:ext>
          </c:extLst>
        </c:ser>
        <c:ser>
          <c:idx val="2"/>
          <c:order val="2"/>
          <c:tx>
            <c:v>Baseline</c:v>
          </c:tx>
          <c:spPr>
            <a:ln w="19050" cap="rnd">
              <a:solidFill>
                <a:schemeClr val="accent3"/>
              </a:solidFill>
              <a:round/>
            </a:ln>
            <a:effectLst/>
          </c:spPr>
          <c:marker>
            <c:symbol val="none"/>
          </c:marker>
          <c:xVal>
            <c:strRef>
              <c:f>Kennzahlen!$N$68:$T$68</c:f>
              <c:strCache>
                <c:ptCount val="7"/>
                <c:pt idx="0">
                  <c:v>1</c:v>
                </c:pt>
                <c:pt idx="1">
                  <c:v>2</c:v>
                </c:pt>
                <c:pt idx="2">
                  <c:v>3</c:v>
                </c:pt>
                <c:pt idx="3">
                  <c:v>4</c:v>
                </c:pt>
                <c:pt idx="4">
                  <c:v>5</c:v>
                </c:pt>
                <c:pt idx="5">
                  <c:v>6</c:v>
                </c:pt>
                <c:pt idx="6">
                  <c:v>7</c:v>
                </c:pt>
              </c:strCache>
            </c:strRef>
          </c:xVal>
          <c:yVal>
            <c:numRef>
              <c:f>Kennzahlen!$N$69:$T$69</c:f>
              <c:numCache>
                <c:formatCode>General</c:formatCode>
                <c:ptCount val="7"/>
                <c:pt idx="0">
                  <c:v>1</c:v>
                </c:pt>
                <c:pt idx="1">
                  <c:v>1</c:v>
                </c:pt>
                <c:pt idx="2">
                  <c:v>1</c:v>
                </c:pt>
                <c:pt idx="3">
                  <c:v>1</c:v>
                </c:pt>
                <c:pt idx="4">
                  <c:v>1</c:v>
                </c:pt>
                <c:pt idx="5">
                  <c:v>1</c:v>
                </c:pt>
                <c:pt idx="6">
                  <c:v>1</c:v>
                </c:pt>
              </c:numCache>
            </c:numRef>
          </c:yVal>
          <c:smooth val="1"/>
          <c:extLst>
            <c:ext xmlns:c16="http://schemas.microsoft.com/office/drawing/2014/chart" uri="{C3380CC4-5D6E-409C-BE32-E72D297353CC}">
              <c16:uniqueId val="{00000002-8BE1-4284-B8B6-C897A04FAC4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5314449176088766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strRef>
          <c:f>Kennzahlen!$B$11</c:f>
          <c:strCache>
            <c:ptCount val="1"/>
            <c:pt idx="0">
              <c:v>Gesamt</c:v>
            </c:pt>
          </c:strCache>
        </c:strRef>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manualLayout>
          <c:layoutTarget val="inner"/>
          <c:xMode val="edge"/>
          <c:yMode val="edge"/>
          <c:x val="0.14761510090599289"/>
          <c:y val="0.16563310728177633"/>
          <c:w val="0.61896362421144047"/>
          <c:h val="0.63607469195406019"/>
        </c:manualLayout>
      </c:layout>
      <c:scatterChart>
        <c:scatterStyle val="smoothMarker"/>
        <c:varyColors val="0"/>
        <c:ser>
          <c:idx val="0"/>
          <c:order val="0"/>
          <c:tx>
            <c:strRef>
              <c:f>Kennzahlen!$A$94</c:f>
              <c:strCache>
                <c:ptCount val="1"/>
                <c:pt idx="0">
                  <c:v>ETC (Estimate to complete)</c:v>
                </c:pt>
              </c:strCache>
            </c:strRef>
          </c:tx>
          <c:spPr>
            <a:ln w="19050" cap="rnd">
              <a:solidFill>
                <a:schemeClr val="tx2"/>
              </a:solidFill>
              <a:round/>
            </a:ln>
            <a:effectLst/>
          </c:spPr>
          <c:marker>
            <c:symbol val="x"/>
            <c:size val="5"/>
            <c:spPr>
              <a:noFill/>
              <a:ln w="9525">
                <a:solidFill>
                  <a:schemeClr val="tx2"/>
                </a:solidFill>
              </a:ln>
              <a:effectLst/>
            </c:spPr>
          </c:marker>
          <c:xVal>
            <c:strRef>
              <c:f>Kennzahlen!$C$3:$I$3</c:f>
              <c:strCache>
                <c:ptCount val="7"/>
                <c:pt idx="0">
                  <c:v>1</c:v>
                </c:pt>
                <c:pt idx="1">
                  <c:v>2</c:v>
                </c:pt>
                <c:pt idx="2">
                  <c:v>3</c:v>
                </c:pt>
                <c:pt idx="3">
                  <c:v>4</c:v>
                </c:pt>
                <c:pt idx="4">
                  <c:v>5</c:v>
                </c:pt>
                <c:pt idx="5">
                  <c:v>6</c:v>
                </c:pt>
                <c:pt idx="6">
                  <c:v>7</c:v>
                </c:pt>
              </c:strCache>
            </c:strRef>
          </c:xVal>
          <c:yVal>
            <c:numRef>
              <c:f>Kennzahlen!$C$104:$I$104</c:f>
              <c:numCache>
                <c:formatCode>0.00</c:formatCode>
                <c:ptCount val="7"/>
                <c:pt idx="0">
                  <c:v>1421.4408065290447</c:v>
                </c:pt>
                <c:pt idx="1">
                  <c:v>17000.437823490378</c:v>
                </c:pt>
                <c:pt idx="2">
                  <c:v>11084.525473510843</c:v>
                </c:pt>
                <c:pt idx="3">
                  <c:v>6591.5452387760943</c:v>
                </c:pt>
                <c:pt idx="4">
                  <c:v>4420.0276504297999</c:v>
                </c:pt>
                <c:pt idx="5">
                  <c:v>2589.8308079652097</c:v>
                </c:pt>
                <c:pt idx="6">
                  <c:v>1313.1617942535665</c:v>
                </c:pt>
              </c:numCache>
            </c:numRef>
          </c:yVal>
          <c:smooth val="0"/>
          <c:extLst>
            <c:ext xmlns:c16="http://schemas.microsoft.com/office/drawing/2014/chart" uri="{C3380CC4-5D6E-409C-BE32-E72D297353CC}">
              <c16:uniqueId val="{00000000-BC87-4916-89DA-566DE59631BE}"/>
            </c:ext>
          </c:extLst>
        </c:ser>
        <c:ser>
          <c:idx val="1"/>
          <c:order val="1"/>
          <c:tx>
            <c:strRef>
              <c:f>Kennzahlen!$A$107</c:f>
              <c:strCache>
                <c:ptCount val="1"/>
                <c:pt idx="0">
                  <c:v>EAC (Estimate at Completion)</c:v>
                </c:pt>
              </c:strCache>
            </c:strRef>
          </c:tx>
          <c:spPr>
            <a:ln w="19050" cap="rnd">
              <a:solidFill>
                <a:srgbClr val="00B050"/>
              </a:solidFill>
              <a:round/>
            </a:ln>
            <a:effectLst/>
          </c:spPr>
          <c:marker>
            <c:symbol val="x"/>
            <c:size val="5"/>
            <c:spPr>
              <a:noFill/>
              <a:ln w="9525">
                <a:solidFill>
                  <a:srgbClr val="00B050"/>
                </a:solidFill>
              </a:ln>
              <a:effectLst/>
            </c:spPr>
          </c:marker>
          <c:xVal>
            <c:strRef>
              <c:f>Kennzahlen!$C$16:$I$16</c:f>
              <c:strCache>
                <c:ptCount val="7"/>
                <c:pt idx="0">
                  <c:v>1</c:v>
                </c:pt>
                <c:pt idx="1">
                  <c:v>2</c:v>
                </c:pt>
                <c:pt idx="2">
                  <c:v>3</c:v>
                </c:pt>
                <c:pt idx="3">
                  <c:v>4</c:v>
                </c:pt>
                <c:pt idx="4">
                  <c:v>5</c:v>
                </c:pt>
                <c:pt idx="5">
                  <c:v>6</c:v>
                </c:pt>
                <c:pt idx="6">
                  <c:v>7</c:v>
                </c:pt>
              </c:strCache>
            </c:strRef>
          </c:xVal>
          <c:yVal>
            <c:numRef>
              <c:f>Kennzahlen!$C$117:$I$117</c:f>
              <c:numCache>
                <c:formatCode>0.00</c:formatCode>
                <c:ptCount val="7"/>
                <c:pt idx="0">
                  <c:v>1505.0408065290449</c:v>
                </c:pt>
                <c:pt idx="1">
                  <c:v>17349.03782349038</c:v>
                </c:pt>
                <c:pt idx="2">
                  <c:v>11650.425473510844</c:v>
                </c:pt>
                <c:pt idx="3">
                  <c:v>7269.4452387760939</c:v>
                </c:pt>
                <c:pt idx="4">
                  <c:v>5137.1776504297995</c:v>
                </c:pt>
                <c:pt idx="5">
                  <c:v>3376.6308079652094</c:v>
                </c:pt>
                <c:pt idx="6">
                  <c:v>2181.9117942535663</c:v>
                </c:pt>
              </c:numCache>
            </c:numRef>
          </c:yVal>
          <c:smooth val="0"/>
          <c:extLst>
            <c:ext xmlns:c16="http://schemas.microsoft.com/office/drawing/2014/chart" uri="{C3380CC4-5D6E-409C-BE32-E72D297353CC}">
              <c16:uniqueId val="{00000001-BC87-4916-89DA-566DE59631BE}"/>
            </c:ext>
          </c:extLst>
        </c:ser>
        <c:dLbls>
          <c:showLegendKey val="0"/>
          <c:showVal val="0"/>
          <c:showCatName val="0"/>
          <c:showSerName val="0"/>
          <c:showPercent val="0"/>
          <c:showBubbleSize val="0"/>
        </c:dLbls>
        <c:axId val="270223336"/>
        <c:axId val="270221696"/>
      </c:scatterChart>
      <c:valAx>
        <c:axId val="2702233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Monat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1696"/>
        <c:crosses val="autoZero"/>
        <c:crossBetween val="midCat"/>
      </c:valAx>
      <c:valAx>
        <c:axId val="270221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[k €]</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70223336"/>
        <c:crosses val="autoZero"/>
        <c:crossBetween val="midCat"/>
      </c:valAx>
      <c:spPr>
        <a:noFill/>
        <a:ln>
          <a:noFill/>
        </a:ln>
        <a:effectLst/>
      </c:spPr>
    </c:plotArea>
    <c:legend>
      <c:legendPos val="r"/>
      <c:layout>
        <c:manualLayout>
          <c:xMode val="edge"/>
          <c:yMode val="edge"/>
          <c:x val="0.78122258819490042"/>
          <c:y val="0.15941065313967398"/>
          <c:w val="0.19300011049188981"/>
          <c:h val="0.2646037646423424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B611B5-6E0C-4478-A49B-272A657C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874</Words>
  <Characters>5512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Benesch</dc:creator>
  <cp:keywords/>
  <dc:description/>
  <cp:lastModifiedBy>Daniel Benesch</cp:lastModifiedBy>
  <cp:revision>18</cp:revision>
  <dcterms:created xsi:type="dcterms:W3CDTF">2017-03-21T17:43:00Z</dcterms:created>
  <dcterms:modified xsi:type="dcterms:W3CDTF">2017-03-21T20:03:00Z</dcterms:modified>
</cp:coreProperties>
</file>