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9360"/>
            <w:gridSpan w:val="2"/>
            <w:tcBorders>
              <w:top w:val="single" w:color="999999" w:sz="4"/>
              <w:left w:val="single" w:color="999999" w:sz="4"/>
              <w:bottom w:val="single" w:color="999999" w:sz="4"/>
              <w:right w:val="single" w:color="999999" w:sz="4"/>
            </w:tcBorders>
          </w:tcPr>
          <w:p>
            <w:r>
              <w:rPr>
                <w:b/>
                <w:bCs/>
              </w:rPr>
              <w:t xml:space="preserve">Section Metadata</w:t>
            </w:r>
          </w:p>
        </w:tc>
      </w:tr>
      <w:tr>
        <w:tc>
          <w:tcPr>
            <w:tcW w:type="dxa" w:w="4680"/>
            <w:tcBorders>
              <w:top w:val="single" w:color="999999" w:sz="4"/>
              <w:left w:val="single" w:color="999999" w:sz="4"/>
              <w:bottom w:val="single" w:color="999999" w:sz="4"/>
              <w:right w:val="single" w:color="999999" w:sz="4"/>
            </w:tcBorders>
          </w:tcPr>
          <w:p>
            <w:r>
              <w:t xml:space="preserve">style</w:t>
            </w:r>
          </w:p>
        </w:tc>
        <w:tc>
          <w:tcPr>
            <w:tcW w:type="dxa" w:w="4680"/>
            <w:tcBorders>
              <w:top w:val="single" w:color="999999" w:sz="4"/>
              <w:left w:val="single" w:color="999999" w:sz="4"/>
              <w:bottom w:val="single" w:color="999999" w:sz="4"/>
              <w:right w:val="single" w:color="999999" w:sz="4"/>
            </w:tcBorders>
          </w:tcPr>
          <w:p>
            <w:r>
              <w:t xml:space="preserve">bg-pn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gridSpan w:val="1"/>
            <w:tcBorders>
              <w:top w:val="single" w:color="999999" w:sz="4"/>
              <w:left w:val="single" w:color="999999" w:sz="4"/>
              <w:bottom w:val="single" w:color="999999" w:sz="4"/>
              <w:right w:val="single" w:color="999999" w:sz="4"/>
            </w:tcBorders>
          </w:tcPr>
          <w:p>
            <w:r>
              <w:rPr>
                <w:b/>
                <w:bCs/>
              </w:rPr>
              <w:t xml:space="preserve">Hero Partner</w:t>
            </w:r>
          </w:p>
        </w:tc>
      </w:tr>
      <w:tr>
        <w:tc>
          <w:tcPr>
            <w:tcW w:type="dxa" w:w="9360"/>
            <w:tcBorders>
              <w:top w:val="single" w:color="999999" w:sz="4"/>
              <w:left w:val="single" w:color="999999" w:sz="4"/>
              <w:bottom w:val="single" w:color="999999" w:sz="4"/>
              <w:right w:val="single" w:color="999999" w:sz="4"/>
            </w:tcBorders>
          </w:tcPr>
          <w:p>
            <w:pPr>
              <w:pStyle w:val="Heading1"/>
            </w:pPr>
            <w:r>
              <w:t xml:space="preserve">ARQUITECTURA HEADLESS</w:t>
            </w:r>
          </w:p>
          <w:p>
            <w:r>
              <w:t xml:space="preserve">Con AEM Headless, crea una vez y publica en todas partes. Al desacoplar la gestión del contenido de su entrega, el mismo contenido sirve a web, móvil, chatbots y pantallas IoT sin duplicación, logrando un tiempo de comercialización más rápido y consistencia omnicanal garantizada.</w:t>
            </w:r>
          </w:p>
        </w:tc>
      </w:tr>
    </w:tbl>
    <w:p>
      <w:r>
        <w:t xml:space="preserve"/>
      </w:r>
    </w:p>
    <w:p>
      <w:pPr>
        <w:pBdr>
          <w:bottom w:val="single" w:color="000000" w:sz="6" w:space="1"/>
        </w:pBdr>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9360"/>
            <w:gridSpan w:val="2"/>
            <w:tcBorders>
              <w:top w:val="single" w:color="999999" w:sz="4"/>
              <w:left w:val="single" w:color="999999" w:sz="4"/>
              <w:bottom w:val="single" w:color="999999" w:sz="4"/>
              <w:right w:val="single" w:color="999999" w:sz="4"/>
            </w:tcBorders>
          </w:tcPr>
          <w:p>
            <w:r>
              <w:rPr>
                <w:b/>
                <w:bCs/>
              </w:rPr>
              <w:t xml:space="preserve">Section Metadata</w:t>
            </w:r>
          </w:p>
        </w:tc>
      </w:tr>
      <w:tr>
        <w:tc>
          <w:tcPr>
            <w:tcW w:type="dxa" w:w="4680"/>
            <w:tcBorders>
              <w:top w:val="single" w:color="999999" w:sz="4"/>
              <w:left w:val="single" w:color="999999" w:sz="4"/>
              <w:bottom w:val="single" w:color="999999" w:sz="4"/>
              <w:right w:val="single" w:color="999999" w:sz="4"/>
            </w:tcBorders>
          </w:tcPr>
          <w:p>
            <w:r>
              <w:t xml:space="preserve">style</w:t>
            </w:r>
          </w:p>
        </w:tc>
        <w:tc>
          <w:tcPr>
            <w:tcW w:type="dxa" w:w="4680"/>
            <w:tcBorders>
              <w:top w:val="single" w:color="999999" w:sz="4"/>
              <w:left w:val="single" w:color="999999" w:sz="4"/>
              <w:bottom w:val="single" w:color="999999" w:sz="4"/>
              <w:right w:val="single" w:color="999999" w:sz="4"/>
            </w:tcBorders>
          </w:tcPr>
          <w:p>
            <w:r>
              <w:t xml:space="preserve">bg-pn-second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gridSpan w:val="1"/>
            <w:tcBorders>
              <w:top w:val="single" w:color="999999" w:sz="4"/>
              <w:left w:val="single" w:color="999999" w:sz="4"/>
              <w:bottom w:val="single" w:color="999999" w:sz="4"/>
              <w:right w:val="single" w:color="999999" w:sz="4"/>
            </w:tcBorders>
          </w:tcPr>
          <w:p>
            <w:r>
              <w:rPr>
                <w:b/>
                <w:bCs/>
              </w:rPr>
              <w:t xml:space="preserve">Title Page (line, left)</w:t>
            </w:r>
          </w:p>
        </w:tc>
      </w:tr>
      <w:tr>
        <w:tc>
          <w:tcPr>
            <w:tcW w:type="dxa" w:w="9360"/>
            <w:tcBorders>
              <w:top w:val="single" w:color="999999" w:sz="4"/>
              <w:left w:val="single" w:color="999999" w:sz="4"/>
              <w:bottom w:val="single" w:color="999999" w:sz="4"/>
              <w:right w:val="single" w:color="999999" w:sz="4"/>
            </w:tcBorders>
          </w:tcPr>
          <w:p>
            <w:r>
              <w:t xml:space="preserve">Arquitectura de AEM Headless</w:t>
            </w:r>
          </w:p>
        </w:tc>
      </w:tr>
    </w:tbl>
    <w:p>
      <w:r>
        <w:t xml:space="preserve"/>
      </w:r>
    </w:p>
    <w:p>
      <w:r>
        <w:t xml:space="preserve">Un entorno de AEM típico está formado por un servicio de creación, un servicio de publicación y un servicio de previsualización opcional.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9360"/>
            <w:gridSpan w:val="2"/>
            <w:tcBorders>
              <w:top w:val="single" w:color="999999" w:sz="4"/>
              <w:left w:val="single" w:color="999999" w:sz="4"/>
              <w:bottom w:val="single" w:color="999999" w:sz="4"/>
              <w:right w:val="single" w:color="999999" w:sz="4"/>
            </w:tcBorders>
          </w:tcPr>
          <w:p>
            <w:r>
              <w:rPr>
                <w:b/>
                <w:bCs/>
              </w:rPr>
              <w:t xml:space="preserve">Timeline Cards</w:t>
            </w:r>
          </w:p>
        </w:tc>
      </w:tr>
      <w:tr>
        <w:tc>
          <w:tcPr>
            <w:tcW w:type="dxa" w:w="4680"/>
            <w:tcBorders>
              <w:top w:val="single" w:color="999999" w:sz="4"/>
              <w:left w:val="single" w:color="999999" w:sz="4"/>
              <w:bottom w:val="single" w:color="999999" w:sz="4"/>
              <w:right w:val="single" w:color="999999" w:sz="4"/>
            </w:tcBorders>
          </w:tcPr>
          <w:p>
            <w:r>
              <w:t xml:space="preserve">Servicio de creación</w:t>
            </w:r>
          </w:p>
        </w:tc>
        <w:tc>
          <w:tcPr>
            <w:tcW w:type="dxa" w:w="4680"/>
            <w:tcBorders>
              <w:top w:val="single" w:color="999999" w:sz="4"/>
              <w:left w:val="single" w:color="999999" w:sz="4"/>
              <w:bottom w:val="single" w:color="999999" w:sz="4"/>
              <w:right w:val="single" w:color="999999" w:sz="4"/>
            </w:tcBorders>
          </w:tcPr>
          <w:p>
            <w:r>
              <w:t xml:space="preserve">El servicio de creación es donde los usuarios internos crean, administran y previsualizan contenido. Es el entorno destinado al equipo editorial para generar y organizar todo el material antes de que esté listo para su distribución.</w:t>
            </w:r>
          </w:p>
        </w:tc>
      </w:tr>
      <w:tr>
        <w:tc>
          <w:tcPr>
            <w:tcW w:type="dxa" w:w="4680"/>
            <w:tcBorders>
              <w:top w:val="single" w:color="999999" w:sz="4"/>
              <w:left w:val="single" w:color="999999" w:sz="4"/>
              <w:bottom w:val="single" w:color="999999" w:sz="4"/>
              <w:right w:val="single" w:color="999999" w:sz="4"/>
            </w:tcBorders>
          </w:tcPr>
          <w:p>
            <w:r>
              <w:t xml:space="preserve">Servicio de publicación</w:t>
            </w:r>
          </w:p>
        </w:tc>
        <w:tc>
          <w:tcPr>
            <w:tcW w:type="dxa" w:w="4680"/>
            <w:tcBorders>
              <w:top w:val="single" w:color="999999" w:sz="4"/>
              <w:left w:val="single" w:color="999999" w:sz="4"/>
              <w:bottom w:val="single" w:color="999999" w:sz="4"/>
              <w:right w:val="single" w:color="999999" w:sz="4"/>
            </w:tcBorders>
          </w:tcPr>
          <w:p>
            <w:r>
              <w:t xml:space="preserve">El servicio de publicación se considera el entorno "activo" y suele ser con el que interactúan los usuarios finales. El contenido, después de editarse y aprobarse en creación, se distribuye aquí. Las apps headless de producción se conectan típicamente a este servicio.</w:t>
            </w:r>
          </w:p>
        </w:tc>
      </w:tr>
      <w:tr>
        <w:tc>
          <w:tcPr>
            <w:tcW w:type="dxa" w:w="4680"/>
            <w:tcBorders>
              <w:top w:val="single" w:color="999999" w:sz="4"/>
              <w:left w:val="single" w:color="999999" w:sz="4"/>
              <w:bottom w:val="single" w:color="999999" w:sz="4"/>
              <w:right w:val="single" w:color="999999" w:sz="4"/>
            </w:tcBorders>
          </w:tcPr>
          <w:p>
            <w:r>
              <w:t xml:space="preserve">Servicio de previsualización</w:t>
            </w:r>
          </w:p>
        </w:tc>
        <w:tc>
          <w:tcPr>
            <w:tcW w:type="dxa" w:w="4680"/>
            <w:tcBorders>
              <w:top w:val="single" w:color="999999" w:sz="4"/>
              <w:left w:val="single" w:color="999999" w:sz="4"/>
              <w:bottom w:val="single" w:color="999999" w:sz="4"/>
              <w:right w:val="single" w:color="999999" w:sz="4"/>
            </w:tcBorders>
          </w:tcPr>
          <w:p>
            <w:r>
              <w:t xml:space="preserve">El servicio de previsualización, funcionalmente, es igual que el de publicación. Sin embargo, solo está disponible para usuarios internos. Ideal para que aprobadores revisen los próximos cambios de contenido antes de que se publiquen para los usuarios finales.</w:t>
            </w:r>
          </w:p>
        </w:tc>
      </w:tr>
      <w:tr>
        <w:tc>
          <w:tcPr>
            <w:tcW w:type="dxa" w:w="4680"/>
            <w:tcBorders>
              <w:top w:val="single" w:color="999999" w:sz="4"/>
              <w:left w:val="single" w:color="999999" w:sz="4"/>
              <w:bottom w:val="single" w:color="999999" w:sz="4"/>
              <w:right w:val="single" w:color="999999" w:sz="4"/>
            </w:tcBorders>
          </w:tcPr>
          <w:p>
            <w:r>
              <w:t xml:space="preserve">Dispatcher</w:t>
            </w:r>
          </w:p>
        </w:tc>
        <w:tc>
          <w:tcPr>
            <w:tcW w:type="dxa" w:w="4680"/>
            <w:tcBorders>
              <w:top w:val="single" w:color="999999" w:sz="4"/>
              <w:left w:val="single" w:color="999999" w:sz="4"/>
              <w:bottom w:val="single" w:color="999999" w:sz="4"/>
              <w:right w:val="single" w:color="999999" w:sz="4"/>
            </w:tcBorders>
          </w:tcPr>
          <w:p>
            <w:r>
              <w:t xml:space="preserve">Dispatcher es un servidor web estático ampliado con el módulo Dispatcher de AEM. Proporciona capacidades de almacenamiento en caché y otra capa de seguridad. Se encuentra delante de los servicios Publicación y Previsualización.</w:t>
            </w:r>
          </w:p>
        </w:tc>
      </w:tr>
    </w:tbl>
    <w:p>
      <w:r>
        <w:t xml:space="preserve"/>
      </w:r>
    </w:p>
    <w:p>
      <w:pPr>
        <w:pBdr>
          <w:bottom w:val="single" w:color="000000" w:sz="6" w:space="1"/>
        </w:pBdr>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9360"/>
            <w:gridSpan w:val="2"/>
            <w:tcBorders>
              <w:top w:val="single" w:color="999999" w:sz="4"/>
              <w:left w:val="single" w:color="999999" w:sz="4"/>
              <w:bottom w:val="single" w:color="999999" w:sz="4"/>
              <w:right w:val="single" w:color="999999" w:sz="4"/>
            </w:tcBorders>
          </w:tcPr>
          <w:p>
            <w:r>
              <w:rPr>
                <w:b/>
                <w:bCs/>
              </w:rPr>
              <w:t xml:space="preserve">Section Metadata</w:t>
            </w:r>
          </w:p>
        </w:tc>
      </w:tr>
      <w:tr>
        <w:tc>
          <w:tcPr>
            <w:tcW w:type="dxa" w:w="4680"/>
            <w:tcBorders>
              <w:top w:val="single" w:color="999999" w:sz="4"/>
              <w:left w:val="single" w:color="999999" w:sz="4"/>
              <w:bottom w:val="single" w:color="999999" w:sz="4"/>
              <w:right w:val="single" w:color="999999" w:sz="4"/>
            </w:tcBorders>
          </w:tcPr>
          <w:p>
            <w:r>
              <w:t xml:space="preserve">style</w:t>
            </w:r>
          </w:p>
        </w:tc>
        <w:tc>
          <w:tcPr>
            <w:tcW w:type="dxa" w:w="4680"/>
            <w:tcBorders>
              <w:top w:val="single" w:color="999999" w:sz="4"/>
              <w:left w:val="single" w:color="999999" w:sz="4"/>
              <w:bottom w:val="single" w:color="999999" w:sz="4"/>
              <w:right w:val="single" w:color="999999" w:sz="4"/>
            </w:tcBorders>
          </w:tcPr>
          <w:p>
            <w:r>
              <w:t xml:space="preserve">bg-pn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gridSpan w:val="1"/>
            <w:tcBorders>
              <w:top w:val="single" w:color="999999" w:sz="4"/>
              <w:left w:val="single" w:color="999999" w:sz="4"/>
              <w:bottom w:val="single" w:color="999999" w:sz="4"/>
              <w:right w:val="single" w:color="999999" w:sz="4"/>
            </w:tcBorders>
          </w:tcPr>
          <w:p>
            <w:r>
              <w:rPr>
                <w:b/>
                <w:bCs/>
              </w:rPr>
              <w:t xml:space="preserve">Title Page (line, left)</w:t>
            </w:r>
          </w:p>
        </w:tc>
      </w:tr>
      <w:tr>
        <w:tc>
          <w:tcPr>
            <w:tcW w:type="dxa" w:w="9360"/>
            <w:tcBorders>
              <w:top w:val="single" w:color="999999" w:sz="4"/>
              <w:left w:val="single" w:color="999999" w:sz="4"/>
              <w:bottom w:val="single" w:color="999999" w:sz="4"/>
              <w:right w:val="single" w:color="999999" w:sz="4"/>
            </w:tcBorders>
          </w:tcPr>
          <w:p>
            <w:r>
              <w:t xml:space="preserve">Modelo de creación y publicación</w:t>
            </w:r>
          </w:p>
        </w:tc>
      </w:tr>
    </w:tbl>
    <w:p>
      <w:r>
        <w:t xml:space="preserve"/>
      </w:r>
    </w:p>
    <w:p>
      <w:r>
        <w:t xml:space="preserve">El patrón de implementación más común con las aplicaciones sin encabezado de AEM es tener la versión de producción de la aplicación conectada a un servicio de publicación de AEM.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9360"/>
            <w:gridSpan w:val="2"/>
            <w:tcBorders>
              <w:top w:val="single" w:color="999999" w:sz="4"/>
              <w:left w:val="single" w:color="999999" w:sz="4"/>
              <w:bottom w:val="single" w:color="999999" w:sz="4"/>
              <w:right w:val="single" w:color="999999" w:sz="4"/>
            </w:tcBorders>
          </w:tcPr>
          <w:p>
            <w:r>
              <w:rPr>
                <w:b/>
                <w:bCs/>
              </w:rPr>
              <w:t xml:space="preserve">Text List</w:t>
            </w:r>
          </w:p>
        </w:tc>
      </w:tr>
      <w:tr>
        <w:tc>
          <w:tcPr>
            <w:tcW w:type="dxa" w:w="4680"/>
            <w:tcBorders>
              <w:top w:val="single" w:color="999999" w:sz="4"/>
              <w:left w:val="single" w:color="999999" w:sz="4"/>
              <w:bottom w:val="single" w:color="999999" w:sz="4"/>
              <w:right w:val="single" w:color="999999" w:sz="4"/>
            </w:tcBorders>
          </w:tcPr>
          <w:p>
            <w:r>
              <w:t xml:space="preserve">1. Autor de contenido</w:t>
            </w:r>
          </w:p>
        </w:tc>
        <w:tc>
          <w:tcPr>
            <w:tcW w:type="dxa" w:w="4680"/>
            <w:tcBorders>
              <w:top w:val="single" w:color="999999" w:sz="4"/>
              <w:left w:val="single" w:color="999999" w:sz="4"/>
              <w:bottom w:val="single" w:color="999999" w:sz="4"/>
              <w:right w:val="single" w:color="999999" w:sz="4"/>
            </w:tcBorders>
          </w:tcPr>
          <w:p>
            <w:r>
              <w:t xml:space="preserve">Utiliza el servicio de creación de AEM para crear, editar y administrar contenido.</w:t>
            </w:r>
          </w:p>
        </w:tc>
      </w:tr>
      <w:tr>
        <w:tc>
          <w:tcPr>
            <w:tcW w:type="dxa" w:w="4680"/>
            <w:tcBorders>
              <w:top w:val="single" w:color="999999" w:sz="4"/>
              <w:left w:val="single" w:color="999999" w:sz="4"/>
              <w:bottom w:val="single" w:color="999999" w:sz="4"/>
              <w:right w:val="single" w:color="999999" w:sz="4"/>
            </w:tcBorders>
          </w:tcPr>
          <w:p>
            <w:r>
              <w:t xml:space="preserve">2. Aplicación Preview</w:t>
            </w:r>
          </w:p>
        </w:tc>
        <w:tc>
          <w:tcPr>
            <w:tcW w:type="dxa" w:w="4680"/>
            <w:tcBorders>
              <w:top w:val="single" w:color="999999" w:sz="4"/>
              <w:left w:val="single" w:color="999999" w:sz="4"/>
              <w:bottom w:val="single" w:color="999999" w:sz="4"/>
              <w:right w:val="single" w:color="999999" w:sz="4"/>
            </w:tcBorders>
          </w:tcPr>
          <w:p>
            <w:r>
              <w:t xml:space="preserve">El autor de contenido y otros usuarios internos pueden obtener una previsualización del contenido directamente en el servicio de creación. Se puede configurar una versión de previsualización de la aplicación que se conecte al servicio de creación.</w:t>
            </w:r>
          </w:p>
        </w:tc>
      </w:tr>
      <w:tr>
        <w:tc>
          <w:tcPr>
            <w:tcW w:type="dxa" w:w="4680"/>
            <w:tcBorders>
              <w:top w:val="single" w:color="999999" w:sz="4"/>
              <w:left w:val="single" w:color="999999" w:sz="4"/>
              <w:bottom w:val="single" w:color="999999" w:sz="4"/>
              <w:right w:val="single" w:color="999999" w:sz="4"/>
            </w:tcBorders>
          </w:tcPr>
          <w:p>
            <w:r>
              <w:t xml:space="preserve">3. Contenido Publicado</w:t>
            </w:r>
          </w:p>
        </w:tc>
        <w:tc>
          <w:tcPr>
            <w:tcW w:type="dxa" w:w="4680"/>
            <w:tcBorders>
              <w:top w:val="single" w:color="999999" w:sz="4"/>
              <w:left w:val="single" w:color="999999" w:sz="4"/>
              <w:bottom w:val="single" w:color="999999" w:sz="4"/>
              <w:right w:val="single" w:color="999999" w:sz="4"/>
            </w:tcBorders>
          </w:tcPr>
          <w:p>
            <w:r>
              <w:t xml:space="preserve">Una vez aprobado el contenido, puede publicarse en el servicio de publicación de AEM.</w:t>
            </w:r>
          </w:p>
        </w:tc>
      </w:tr>
      <w:tr>
        <w:tc>
          <w:tcPr>
            <w:tcW w:type="dxa" w:w="4680"/>
            <w:tcBorders>
              <w:top w:val="single" w:color="999999" w:sz="4"/>
              <w:left w:val="single" w:color="999999" w:sz="4"/>
              <w:bottom w:val="single" w:color="999999" w:sz="4"/>
              <w:right w:val="single" w:color="999999" w:sz="4"/>
            </w:tcBorders>
          </w:tcPr>
          <w:p>
            <w:r>
              <w:t xml:space="preserve">4. Dispatcher</w:t>
            </w:r>
          </w:p>
        </w:tc>
        <w:tc>
          <w:tcPr>
            <w:tcW w:type="dxa" w:w="4680"/>
            <w:tcBorders>
              <w:top w:val="single" w:color="999999" w:sz="4"/>
              <w:left w:val="single" w:color="999999" w:sz="4"/>
              <w:bottom w:val="single" w:color="999999" w:sz="4"/>
              <w:right w:val="single" w:color="999999" w:sz="4"/>
            </w:tcBorders>
          </w:tcPr>
          <w:p>
            <w:r>
              <w:t xml:space="preserve">Es una capa delante del servicio de publicación que puede almacenar en caché determinadas solicitudes y proporcionar una capa de seguridad.</w:t>
            </w:r>
          </w:p>
        </w:tc>
      </w:tr>
      <w:tr>
        <w:tc>
          <w:tcPr>
            <w:tcW w:type="dxa" w:w="4680"/>
            <w:tcBorders>
              <w:top w:val="single" w:color="999999" w:sz="4"/>
              <w:left w:val="single" w:color="999999" w:sz="4"/>
              <w:bottom w:val="single" w:color="999999" w:sz="4"/>
              <w:right w:val="single" w:color="999999" w:sz="4"/>
            </w:tcBorders>
          </w:tcPr>
          <w:p>
            <w:r>
              <w:t xml:space="preserve">5. Aplicación de producción</w:t>
            </w:r>
          </w:p>
        </w:tc>
        <w:tc>
          <w:tcPr>
            <w:tcW w:type="dxa" w:w="4680"/>
            <w:tcBorders>
              <w:top w:val="single" w:color="999999" w:sz="4"/>
              <w:left w:val="single" w:color="999999" w:sz="4"/>
              <w:bottom w:val="single" w:color="999999" w:sz="4"/>
              <w:right w:val="single" w:color="999999" w:sz="4"/>
            </w:tcBorders>
          </w:tcPr>
          <w:p>
            <w:r>
              <w:t xml:space="preserve">Los usuarios finales interactúan con la versión de producción de la aplicación. La aplicación de producción se conecta al servicio de publicación a través de Dispatcher y utiliza las API de GraphQL para solicitar y consumir contenido.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9360"/>
            <w:gridSpan w:val="2"/>
            <w:tcBorders>
              <w:top w:val="single" w:color="999999" w:sz="4"/>
              <w:left w:val="single" w:color="999999" w:sz="4"/>
              <w:bottom w:val="single" w:color="999999" w:sz="4"/>
              <w:right w:val="single" w:color="999999" w:sz="4"/>
            </w:tcBorders>
          </w:tcPr>
          <w:p>
            <w:r>
              <w:rPr>
                <w:b/>
                <w:bCs/>
              </w:rPr>
              <w:t xml:space="preserve">Browser Frame</w:t>
            </w:r>
          </w:p>
        </w:tc>
      </w:tr>
      <w:tr>
        <w:tc>
          <w:tcPr>
            <w:tcW w:type="dxa" w:w="4680"/>
            <w:tcBorders>
              <w:top w:val="single" w:color="999999" w:sz="4"/>
              <w:left w:val="single" w:color="999999" w:sz="4"/>
              <w:bottom w:val="single" w:color="999999" w:sz="4"/>
              <w:right w:val="single" w:color="999999" w:sz="4"/>
            </w:tcBorders>
          </w:tcPr>
          <w:p>
            <w:r>
              <w:t xml:space="preserve">Member Dashboard</w:t>
            </w:r>
          </w:p>
        </w:tc>
        <w:tc>
          <w:tcPr>
            <w:tcW w:type="dxa" w:w="4680"/>
            <w:tcBorders>
              <w:top w:val="single" w:color="999999" w:sz="4"/>
              <w:left w:val="single" w:color="999999" w:sz="4"/>
              <w:bottom w:val="single" w:color="999999" w:sz="4"/>
              <w:right w:val="single" w:color="999999" w:sz="4"/>
            </w:tcBorders>
          </w:tcPr>
          <w:p>
            <w:r>
              <w:t xml:space="preserve">Texto subititle</w:t>
            </w:r>
          </w:p>
        </w:tc>
      </w:tr>
      <w:tr>
        <w:tc>
          <w:tcPr>
            <w:tcW w:type="dxa" w:w="4680"/>
            <w:tcBorders>
              <w:top w:val="single" w:color="999999" w:sz="4"/>
              <w:left w:val="single" w:color="999999" w:sz="4"/>
              <w:bottom w:val="single" w:color="999999" w:sz="4"/>
              <w:right w:val="single" w:color="999999" w:sz="4"/>
            </w:tcBorders>
          </w:tcPr>
          <w:p>
            <w:r>
              <w:drawing>
                <wp:inline distT="0" distB="0" distL="0" distR="0">
                  <wp:extent cx="42862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428875"/>
                          </a:xfrm>
                          <a:prstGeom prst="rect">
                            <a:avLst/>
                          </a:prstGeom>
                        </pic:spPr>
                      </pic:pic>
                    </a:graphicData>
                  </a:graphic>
                </wp:inline>
              </w:drawing>
            </w:r>
          </w:p>
        </w:tc>
      </w:tr>
    </w:tbl>
    <w:p>
      <w:r>
        <w:t xml:space="preserve"/>
      </w:r>
    </w:p>
    <w:p>
      <w:pPr>
        <w:pBdr>
          <w:bottom w:val="single" w:color="000000" w:sz="6" w:space="1"/>
        </w:pBdr>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9360"/>
            <w:gridSpan w:val="2"/>
            <w:tcBorders>
              <w:top w:val="single" w:color="999999" w:sz="4"/>
              <w:left w:val="single" w:color="999999" w:sz="4"/>
              <w:bottom w:val="single" w:color="999999" w:sz="4"/>
              <w:right w:val="single" w:color="999999" w:sz="4"/>
            </w:tcBorders>
          </w:tcPr>
          <w:p>
            <w:r>
              <w:rPr>
                <w:b/>
                <w:bCs/>
              </w:rPr>
              <w:t xml:space="preserve">Section Metadata</w:t>
            </w:r>
          </w:p>
        </w:tc>
      </w:tr>
      <w:tr>
        <w:tc>
          <w:tcPr>
            <w:tcW w:type="dxa" w:w="4680"/>
            <w:tcBorders>
              <w:top w:val="single" w:color="999999" w:sz="4"/>
              <w:left w:val="single" w:color="999999" w:sz="4"/>
              <w:bottom w:val="single" w:color="999999" w:sz="4"/>
              <w:right w:val="single" w:color="999999" w:sz="4"/>
            </w:tcBorders>
          </w:tcPr>
          <w:p>
            <w:r>
              <w:t xml:space="preserve">style</w:t>
            </w:r>
          </w:p>
        </w:tc>
        <w:tc>
          <w:tcPr>
            <w:tcW w:type="dxa" w:w="4680"/>
            <w:tcBorders>
              <w:top w:val="single" w:color="999999" w:sz="4"/>
              <w:left w:val="single" w:color="999999" w:sz="4"/>
              <w:bottom w:val="single" w:color="999999" w:sz="4"/>
              <w:right w:val="single" w:color="999999" w:sz="4"/>
            </w:tcBorders>
          </w:tcPr>
          <w:p>
            <w:r>
              <w:t xml:space="preserve">bg-pn-second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gridSpan w:val="1"/>
            <w:tcBorders>
              <w:top w:val="single" w:color="999999" w:sz="4"/>
              <w:left w:val="single" w:color="999999" w:sz="4"/>
              <w:bottom w:val="single" w:color="999999" w:sz="4"/>
              <w:right w:val="single" w:color="999999" w:sz="4"/>
            </w:tcBorders>
          </w:tcPr>
          <w:p>
            <w:r>
              <w:rPr>
                <w:b/>
                <w:bCs/>
              </w:rPr>
              <w:t xml:space="preserve">Title Page (line, left)</w:t>
            </w:r>
          </w:p>
        </w:tc>
      </w:tr>
      <w:tr>
        <w:tc>
          <w:tcPr>
            <w:tcW w:type="dxa" w:w="9360"/>
            <w:tcBorders>
              <w:top w:val="single" w:color="999999" w:sz="4"/>
              <w:left w:val="single" w:color="999999" w:sz="4"/>
              <w:bottom w:val="single" w:color="999999" w:sz="4"/>
              <w:right w:val="single" w:color="999999" w:sz="4"/>
            </w:tcBorders>
          </w:tcPr>
          <w:p>
            <w:r>
              <w:t xml:space="preserve">Implementación de creación, previsualización y publicación</w:t>
            </w:r>
          </w:p>
        </w:tc>
      </w:tr>
    </w:tbl>
    <w:p>
      <w:r>
        <w:t xml:space="preserve"/>
      </w:r>
    </w:p>
    <w:p>
      <w:r>
        <w:t xml:space="preserve">Otra opción para implementaciones sin encabezado es incorporar un servicio de previsualización de AEM. Con este enfoque, el contenido se puede publicar primero en el servicio de previsualización y una versión de vista previa de la aplicación sin encabezado pueden conectarse a él. La ventaja de este enfoque es que el servicio de previsualización se puede configurar con los mismos requisitos y permisos de autenticación que el de publicación, lo que facilita la simulación de la experiencia de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9360"/>
            <w:gridSpan w:val="2"/>
            <w:tcBorders>
              <w:top w:val="single" w:color="999999" w:sz="4"/>
              <w:left w:val="single" w:color="999999" w:sz="4"/>
              <w:bottom w:val="single" w:color="999999" w:sz="4"/>
              <w:right w:val="single" w:color="999999" w:sz="4"/>
            </w:tcBorders>
          </w:tcPr>
          <w:p>
            <w:r>
              <w:rPr>
                <w:b/>
                <w:bCs/>
              </w:rPr>
              <w:t xml:space="preserve">Browser Frame</w:t>
            </w:r>
          </w:p>
        </w:tc>
      </w:tr>
      <w:tr>
        <w:tc>
          <w:tcPr>
            <w:tcW w:type="dxa" w:w="4680"/>
            <w:tcBorders>
              <w:top w:val="single" w:color="999999" w:sz="4"/>
              <w:left w:val="single" w:color="999999" w:sz="4"/>
              <w:bottom w:val="single" w:color="999999" w:sz="4"/>
              <w:right w:val="single" w:color="999999" w:sz="4"/>
            </w:tcBorders>
          </w:tcPr>
          <w:p>
            <w:r>
              <w:t xml:space="preserve">Member Dashboard</w:t>
            </w:r>
          </w:p>
        </w:tc>
        <w:tc>
          <w:tcPr>
            <w:tcW w:type="dxa" w:w="4680"/>
            <w:tcBorders>
              <w:top w:val="single" w:color="999999" w:sz="4"/>
              <w:left w:val="single" w:color="999999" w:sz="4"/>
              <w:bottom w:val="single" w:color="999999" w:sz="4"/>
              <w:right w:val="single" w:color="999999" w:sz="4"/>
            </w:tcBorders>
          </w:tcPr>
          <w:p>
            <w:r>
              <w:t xml:space="preserve">Texto subititle</w:t>
            </w:r>
          </w:p>
        </w:tc>
      </w:tr>
      <w:tr>
        <w:tc>
          <w:tcPr>
            <w:tcW w:type="dxa" w:w="4680"/>
            <w:tcBorders>
              <w:top w:val="single" w:color="999999" w:sz="4"/>
              <w:left w:val="single" w:color="999999" w:sz="4"/>
              <w:bottom w:val="single" w:color="999999" w:sz="4"/>
              <w:right w:val="single" w:color="999999" w:sz="4"/>
            </w:tcBorders>
          </w:tcPr>
          <w:p>
            <w:r>
              <w:drawing>
                <wp:inline distT="0" distB="0" distL="0" distR="0">
                  <wp:extent cx="42862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428875"/>
                          </a:xfrm>
                          <a:prstGeom prst="rect">
                            <a:avLst/>
                          </a:prstGeom>
                        </pic:spPr>
                      </pic:pic>
                    </a:graphicData>
                  </a:graphic>
                </wp:inline>
              </w:drawing>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9360"/>
            <w:gridSpan w:val="2"/>
            <w:tcBorders>
              <w:top w:val="single" w:color="999999" w:sz="4"/>
              <w:left w:val="single" w:color="999999" w:sz="4"/>
              <w:bottom w:val="single" w:color="999999" w:sz="4"/>
              <w:right w:val="single" w:color="999999" w:sz="4"/>
            </w:tcBorders>
          </w:tcPr>
          <w:p>
            <w:r>
              <w:rPr>
                <w:b/>
                <w:bCs/>
              </w:rPr>
              <w:t xml:space="preserve">Text List</w:t>
            </w:r>
          </w:p>
        </w:tc>
      </w:tr>
      <w:tr>
        <w:tc>
          <w:tcPr>
            <w:tcW w:type="dxa" w:w="4680"/>
            <w:tcBorders>
              <w:top w:val="single" w:color="999999" w:sz="4"/>
              <w:left w:val="single" w:color="999999" w:sz="4"/>
              <w:bottom w:val="single" w:color="999999" w:sz="4"/>
              <w:right w:val="single" w:color="999999" w:sz="4"/>
            </w:tcBorders>
          </w:tcPr>
          <w:p>
            <w:r>
              <w:t xml:space="preserve">1. Autor del contenido</w:t>
            </w:r>
          </w:p>
        </w:tc>
        <w:tc>
          <w:tcPr>
            <w:tcW w:type="dxa" w:w="4680"/>
            <w:tcBorders>
              <w:top w:val="single" w:color="999999" w:sz="4"/>
              <w:left w:val="single" w:color="999999" w:sz="4"/>
              <w:bottom w:val="single" w:color="999999" w:sz="4"/>
              <w:right w:val="single" w:color="999999" w:sz="4"/>
            </w:tcBorders>
          </w:tcPr>
          <w:p>
            <w:r>
              <w:t xml:space="preserve">Un autor de contenido utiliza el servicio de creación de AEM para crear, editar y administrar contenido.</w:t>
            </w:r>
          </w:p>
        </w:tc>
      </w:tr>
      <w:tr>
        <w:tc>
          <w:tcPr>
            <w:tcW w:type="dxa" w:w="4680"/>
            <w:tcBorders>
              <w:top w:val="single" w:color="999999" w:sz="4"/>
              <w:left w:val="single" w:color="999999" w:sz="4"/>
              <w:bottom w:val="single" w:color="999999" w:sz="4"/>
              <w:right w:val="single" w:color="999999" w:sz="4"/>
            </w:tcBorders>
          </w:tcPr>
          <w:p>
            <w:r>
              <w:t xml:space="preserve">2. Contenido publicado en Preview</w:t>
            </w:r>
          </w:p>
        </w:tc>
        <w:tc>
          <w:tcPr>
            <w:tcW w:type="dxa" w:w="4680"/>
            <w:tcBorders>
              <w:top w:val="single" w:color="999999" w:sz="4"/>
              <w:left w:val="single" w:color="999999" w:sz="4"/>
              <w:bottom w:val="single" w:color="999999" w:sz="4"/>
              <w:right w:val="single" w:color="999999" w:sz="4"/>
            </w:tcBorders>
          </w:tcPr>
          <w:p>
            <w:r>
              <w:t xml:space="preserve">El contenido se publica primero en el servicio de previsualización de AEM.</w:t>
            </w:r>
          </w:p>
        </w:tc>
      </w:tr>
      <w:tr>
        <w:tc>
          <w:tcPr>
            <w:tcW w:type="dxa" w:w="4680"/>
            <w:tcBorders>
              <w:top w:val="single" w:color="999999" w:sz="4"/>
              <w:left w:val="single" w:color="999999" w:sz="4"/>
              <w:bottom w:val="single" w:color="999999" w:sz="4"/>
              <w:right w:val="single" w:color="999999" w:sz="4"/>
            </w:tcBorders>
          </w:tcPr>
          <w:p>
            <w:r>
              <w:t xml:space="preserve">3. Aplicación Preview</w:t>
            </w:r>
          </w:p>
        </w:tc>
        <w:tc>
          <w:tcPr>
            <w:tcW w:type="dxa" w:w="4680"/>
            <w:tcBorders>
              <w:top w:val="single" w:color="999999" w:sz="4"/>
              <w:left w:val="single" w:color="999999" w:sz="4"/>
              <w:bottom w:val="single" w:color="999999" w:sz="4"/>
              <w:right w:val="single" w:color="999999" w:sz="4"/>
            </w:tcBorders>
          </w:tcPr>
          <w:p>
            <w:r>
              <w:t xml:space="preserve">Se puede configurar una versión de previsualización de la aplicación que se conecte al servicio de previsualización.</w:t>
            </w:r>
          </w:p>
        </w:tc>
      </w:tr>
      <w:tr>
        <w:tc>
          <w:tcPr>
            <w:tcW w:type="dxa" w:w="4680"/>
            <w:tcBorders>
              <w:top w:val="single" w:color="999999" w:sz="4"/>
              <w:left w:val="single" w:color="999999" w:sz="4"/>
              <w:bottom w:val="single" w:color="999999" w:sz="4"/>
              <w:right w:val="single" w:color="999999" w:sz="4"/>
            </w:tcBorders>
          </w:tcPr>
          <w:p>
            <w:r>
              <w:t xml:space="preserve">4. Contenido publicado en Publish</w:t>
            </w:r>
          </w:p>
        </w:tc>
        <w:tc>
          <w:tcPr>
            <w:tcW w:type="dxa" w:w="4680"/>
            <w:tcBorders>
              <w:top w:val="single" w:color="999999" w:sz="4"/>
              <w:left w:val="single" w:color="999999" w:sz="4"/>
              <w:bottom w:val="single" w:color="999999" w:sz="4"/>
              <w:right w:val="single" w:color="999999" w:sz="4"/>
            </w:tcBorders>
          </w:tcPr>
          <w:p>
            <w:r>
              <w:t xml:space="preserve">Una vez revisado y aprobado el contenido, puede publicarse en el servicio de publicación de AEM.</w:t>
            </w:r>
          </w:p>
        </w:tc>
      </w:tr>
      <w:tr>
        <w:tc>
          <w:tcPr>
            <w:tcW w:type="dxa" w:w="4680"/>
            <w:tcBorders>
              <w:top w:val="single" w:color="999999" w:sz="4"/>
              <w:left w:val="single" w:color="999999" w:sz="4"/>
              <w:bottom w:val="single" w:color="999999" w:sz="4"/>
              <w:right w:val="single" w:color="999999" w:sz="4"/>
            </w:tcBorders>
          </w:tcPr>
          <w:p>
            <w:r>
              <w:t xml:space="preserve">5. Aplicacióen Producción</w:t>
            </w:r>
          </w:p>
        </w:tc>
        <w:tc>
          <w:tcPr>
            <w:tcW w:type="dxa" w:w="4680"/>
            <w:tcBorders>
              <w:top w:val="single" w:color="999999" w:sz="4"/>
              <w:left w:val="single" w:color="999999" w:sz="4"/>
              <w:bottom w:val="single" w:color="999999" w:sz="4"/>
              <w:right w:val="single" w:color="999999" w:sz="4"/>
            </w:tcBorders>
          </w:tcPr>
          <w:p>
            <w:r>
              <w:t xml:space="preserve">Los usuarios finales interactúan con la versión de producción de la aplicación. La aplicación de producción se conecta al servicio de publicación a través de Dispatcher y utiliza las API de GraphQL para solicitar y consumir contenido.</w:t>
            </w:r>
          </w:p>
        </w:tc>
      </w:tr>
    </w:tbl>
    <w:p>
      <w:r>
        <w:t xml:space="preserve"/>
      </w:r>
    </w:p>
    <w:p>
      <w:pPr>
        <w:pBdr>
          <w:bottom w:val="single" w:color="000000" w:sz="6" w:space="1"/>
        </w:pBdr>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9360"/>
            <w:gridSpan w:val="2"/>
            <w:tcBorders>
              <w:top w:val="single" w:color="999999" w:sz="4"/>
              <w:left w:val="single" w:color="999999" w:sz="4"/>
              <w:bottom w:val="single" w:color="999999" w:sz="4"/>
              <w:right w:val="single" w:color="999999" w:sz="4"/>
            </w:tcBorders>
          </w:tcPr>
          <w:p>
            <w:r>
              <w:rPr>
                <w:b/>
                <w:bCs/>
              </w:rPr>
              <w:t xml:space="preserve">Metadata</w:t>
            </w:r>
          </w:p>
        </w:tc>
      </w:tr>
      <w:tr>
        <w:tc>
          <w:tcPr>
            <w:tcW w:type="dxa" w:w="4680"/>
            <w:tcBorders>
              <w:top w:val="single" w:color="999999" w:sz="4"/>
              <w:left w:val="single" w:color="999999" w:sz="4"/>
              <w:bottom w:val="single" w:color="999999" w:sz="4"/>
              <w:right w:val="single" w:color="999999" w:sz="4"/>
            </w:tcBorders>
          </w:tcPr>
          <w:p>
            <w:r>
              <w:t xml:space="preserve">Title</w:t>
            </w:r>
          </w:p>
        </w:tc>
        <w:tc>
          <w:tcPr>
            <w:tcW w:type="dxa" w:w="4680"/>
            <w:tcBorders>
              <w:top w:val="single" w:color="999999" w:sz="4"/>
              <w:left w:val="single" w:color="999999" w:sz="4"/>
              <w:bottom w:val="single" w:color="999999" w:sz="4"/>
              <w:right w:val="single" w:color="999999" w:sz="4"/>
            </w:tcBorders>
          </w:tcPr>
          <w:p>
            <w:r>
              <w:t xml:space="preserve">Ecosistema Adobe dentro de Puntos.net</w:t>
            </w:r>
          </w:p>
        </w:tc>
      </w:tr>
      <w:tr>
        <w:tc>
          <w:tcPr>
            <w:tcW w:type="dxa" w:w="4680"/>
            <w:tcBorders>
              <w:top w:val="single" w:color="999999" w:sz="4"/>
              <w:left w:val="single" w:color="999999" w:sz="4"/>
              <w:bottom w:val="single" w:color="999999" w:sz="4"/>
              <w:right w:val="single" w:color="999999" w:sz="4"/>
            </w:tcBorders>
          </w:tcPr>
          <w:p>
            <w:r>
              <w:t xml:space="preserve">Description</w:t>
            </w:r>
          </w:p>
        </w:tc>
        <w:tc>
          <w:tcPr>
            <w:tcW w:type="dxa" w:w="4680"/>
            <w:tcBorders>
              <w:top w:val="single" w:color="999999" w:sz="4"/>
              <w:left w:val="single" w:color="999999" w:sz="4"/>
              <w:bottom w:val="single" w:color="999999" w:sz="4"/>
              <w:right w:val="single" w:color="999999" w:sz="4"/>
            </w:tcBorders>
          </w:tcPr>
          <w:p>
            <w:r>
              <w:t xml:space="preserve">Puntos Net</w:t>
            </w:r>
          </w:p>
        </w:tc>
      </w:tr>
    </w:tbl>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56b1a9e444d6e33c0463573c581d6a7b51ab7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2026-09-22T01:25:32.219Z</dcterms:created>
  <dcterms:modified xsi:type="dcterms:W3CDTF">2026-09-22T01:25:32.220Z</dcterms:modified>
</cp:coreProperties>
</file>

<file path=docProps/custom.xml><?xml version="1.0" encoding="utf-8"?>
<Properties xmlns="http://schemas.openxmlformats.org/officeDocument/2006/custom-properties" xmlns:vt="http://schemas.openxmlformats.org/officeDocument/2006/docPropsVTypes"/>
</file>