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9360"/>
            <w:gridSpan w:val="2"/>
            <w:tcBorders>
              <w:top w:val="single" w:color="999999" w:sz="4"/>
              <w:left w:val="single" w:color="999999" w:sz="4"/>
              <w:bottom w:val="single" w:color="999999" w:sz="4"/>
              <w:right w:val="single" w:color="999999" w:sz="4"/>
            </w:tcBorders>
          </w:tcPr>
          <w:p>
            <w:r>
              <w:rPr>
                <w:b/>
                <w:bCs/>
              </w:rPr>
              <w:t xml:space="preserve">Section Metadata</w:t>
            </w:r>
          </w:p>
        </w:tc>
      </w:tr>
      <w:tr>
        <w:tc>
          <w:tcPr>
            <w:tcW w:type="dxa" w:w="4680"/>
            <w:tcBorders>
              <w:top w:val="single" w:color="999999" w:sz="4"/>
              <w:left w:val="single" w:color="999999" w:sz="4"/>
              <w:bottom w:val="single" w:color="999999" w:sz="4"/>
              <w:right w:val="single" w:color="999999" w:sz="4"/>
            </w:tcBorders>
          </w:tcPr>
          <w:p>
            <w:r>
              <w:t xml:space="preserve">style</w:t>
            </w:r>
          </w:p>
        </w:tc>
        <w:tc>
          <w:tcPr>
            <w:tcW w:type="dxa" w:w="4680"/>
            <w:tcBorders>
              <w:top w:val="single" w:color="999999" w:sz="4"/>
              <w:left w:val="single" w:color="999999" w:sz="4"/>
              <w:bottom w:val="single" w:color="999999" w:sz="4"/>
              <w:right w:val="single" w:color="999999" w:sz="4"/>
            </w:tcBorders>
          </w:tcPr>
          <w:p>
            <w:r>
              <w:t xml:space="preserve">dark</w:t>
            </w:r>
          </w:p>
        </w:tc>
      </w:tr>
    </w:tbl>
    <w:p>
      <w:r>
        <w:t xml:space="preserve"/>
      </w:r>
    </w:p>
    <w:p>
      <w:r>
        <w:t xml:space="preserve">Titulo 1</w:t>
      </w:r>
    </w:p>
    <w:p>
      <w:r>
        <w:t xml:space="preserve">24 de mayo de 2026 • Puntos.net</w:t>
      </w:r>
    </w:p>
    <w:p>
      <w:r>
        <w:t xml:space="preserve">adobeanalytics</w:t>
      </w:r>
    </w:p>
    <w:p>
      <w:pPr>
        <w:pBdr>
          <w:bottom w:val="single" w:color="000000" w:sz="6" w:space="1"/>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9360"/>
            <w:gridSpan w:val="2"/>
            <w:tcBorders>
              <w:top w:val="single" w:color="999999" w:sz="4"/>
              <w:left w:val="single" w:color="999999" w:sz="4"/>
              <w:bottom w:val="single" w:color="999999" w:sz="4"/>
              <w:right w:val="single" w:color="999999" w:sz="4"/>
            </w:tcBorders>
          </w:tcPr>
          <w:p>
            <w:r>
              <w:rPr>
                <w:b/>
                <w:bCs/>
              </w:rPr>
              <w:t xml:space="preserve">Section Metadata</w:t>
            </w:r>
          </w:p>
        </w:tc>
      </w:tr>
      <w:tr>
        <w:tc>
          <w:tcPr>
            <w:tcW w:type="dxa" w:w="4680"/>
            <w:tcBorders>
              <w:top w:val="single" w:color="999999" w:sz="4"/>
              <w:left w:val="single" w:color="999999" w:sz="4"/>
              <w:bottom w:val="single" w:color="999999" w:sz="4"/>
              <w:right w:val="single" w:color="999999" w:sz="4"/>
            </w:tcBorders>
          </w:tcPr>
          <w:p>
            <w:r>
              <w:t xml:space="preserve">style</w:t>
            </w:r>
          </w:p>
        </w:tc>
        <w:tc>
          <w:tcPr>
            <w:tcW w:type="dxa" w:w="4680"/>
            <w:tcBorders>
              <w:top w:val="single" w:color="999999" w:sz="4"/>
              <w:left w:val="single" w:color="999999" w:sz="4"/>
              <w:bottom w:val="single" w:color="999999" w:sz="4"/>
              <w:right w:val="single" w:color="999999" w:sz="4"/>
            </w:tcBorders>
          </w:tcPr>
          <w:p>
            <w:r>
              <w:t xml:space="preserve">dark</w:t>
            </w:r>
          </w:p>
        </w:tc>
      </w:tr>
    </w:tbl>
    <w:p>
      <w:r>
        <w:t xml:space="preserve"/>
      </w:r>
    </w:p>
    <w:p>
      <w:r>
        <w:drawing>
          <wp:inline distT="0" distB="0" distL="0" distR="0">
            <wp:extent cx="4286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552700"/>
                    </a:xfrm>
                    <a:prstGeom prst="rect">
                      <a:avLst/>
                    </a:prstGeom>
                  </pic:spPr>
                </pic:pic>
              </a:graphicData>
            </a:graphic>
          </wp:inline>
        </w:drawing>
      </w:r>
    </w:p>
    <w:p>
      <w:pPr>
        <w:pBdr>
          <w:bottom w:val="single" w:color="000000" w:sz="6" w:space="1"/>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9360"/>
            <w:gridSpan w:val="2"/>
            <w:tcBorders>
              <w:top w:val="single" w:color="999999" w:sz="4"/>
              <w:left w:val="single" w:color="999999" w:sz="4"/>
              <w:bottom w:val="single" w:color="999999" w:sz="4"/>
              <w:right w:val="single" w:color="999999" w:sz="4"/>
            </w:tcBorders>
          </w:tcPr>
          <w:p>
            <w:r>
              <w:rPr>
                <w:b/>
                <w:bCs/>
              </w:rPr>
              <w:t xml:space="preserve">Section Metadata</w:t>
            </w:r>
          </w:p>
        </w:tc>
      </w:tr>
      <w:tr>
        <w:tc>
          <w:tcPr>
            <w:tcW w:type="dxa" w:w="4680"/>
            <w:tcBorders>
              <w:top w:val="single" w:color="999999" w:sz="4"/>
              <w:left w:val="single" w:color="999999" w:sz="4"/>
              <w:bottom w:val="single" w:color="999999" w:sz="4"/>
              <w:right w:val="single" w:color="999999" w:sz="4"/>
            </w:tcBorders>
          </w:tcPr>
          <w:p>
            <w:r>
              <w:t xml:space="preserve">style</w:t>
            </w:r>
          </w:p>
        </w:tc>
        <w:tc>
          <w:tcPr>
            <w:tcW w:type="dxa" w:w="4680"/>
            <w:tcBorders>
              <w:top w:val="single" w:color="999999" w:sz="4"/>
              <w:left w:val="single" w:color="999999" w:sz="4"/>
              <w:bottom w:val="single" w:color="999999" w:sz="4"/>
              <w:right w:val="single" w:color="999999" w:sz="4"/>
            </w:tcBorders>
          </w:tcPr>
          <w:p>
            <w:r>
              <w:t xml:space="preserve">dark</w:t>
            </w:r>
          </w:p>
        </w:tc>
      </w:tr>
    </w:tbl>
    <w:p>
      <w:r>
        <w:t xml:space="preserve"/>
      </w:r>
    </w:p>
    <w:p>
      <w:r>
        <w:t xml:space="preserve">Resumen SEO del articulo</w:t>
      </w:r>
    </w:p>
    <w:p>
      <w:pPr>
        <w:pStyle w:val="Heading2"/>
      </w:pPr>
      <w:r>
        <w:t xml:space="preserve">Cuando tu próximo cliente no llega desde Google</w:t>
      </w:r>
    </w:p>
    <w:p>
      <w:r>
        <w:t xml:space="preserve">Durante veinte años, la pregunta estratégica fue la misma: ¿cómo aparezco en la primera página de Google? Hoy esa pregunta empieza a quedar incompleta.</w:t>
      </w:r>
    </w:p>
    <w:p>
      <w:r>
        <w:t xml:space="preserve">Cada vez más decisiones de compra arrancan en una conversación con ChatGPT, una respuesta de Gemini, un resumen de Perplexity o un overview de IA dentro del propio buscador. El usuario no hace clic en diez resultados: lee una respuesta sintetizada y pregunta de nuevo. Si tu marca no aparece en esa respuesta, no existe en la decisión.</w:t>
      </w:r>
    </w:p>
    <w:p>
      <w:r>
        <w:t xml:space="preserve">Ese cambio tiene nombre — o, mejor dicho, dos: LLMO (Large Language Model Optimization) y GEO (Generative Engine Optimization). Y Adobe acaba de poner una pieza importante en el tablero con Adobe LLM Optimizer.</w:t>
      </w:r>
    </w:p>
    <w:p>
      <w:r>
        <w:t xml:space="preserve">En esta guía vas a encontrar qué son LLMO y GEO, en qué se diferencian del SEO tradicional, cómo encaja Adobe LLM Optimizer en tu stack de Adobe Experience Cloud y un playbook concreto de 7 pasos para empezar a optimizar tu marca para los motores generativos.</w:t>
      </w:r>
    </w:p>
    <w:p>
      <w:pPr>
        <w:pStyle w:val="Heading2"/>
      </w:pPr>
      <w:r>
        <w:t xml:space="preserve">¿Qué es LLMO y qué es GEO?</w:t>
      </w:r>
    </w:p>
    <w:p>
      <w:r>
        <w:t xml:space="preserve">Aunque muchas veces se usan como sinónimos, conviene separarlos:</w:t>
      </w:r>
    </w:p>
    <w:p>
      <w:r>
        <w:t xml:space="preserve">LLMO (Large Language Model Optimization) es la práctica de optimizar tu contenido, marca y datos estructurados para que los modelos de lenguaje (ChatGPT, Claude, Gemini, Llama) te citen, mencionen o recomienden cuando un usuario pregunta sobre tu categoría. GEO (Generative Engine Optimization) es el conjunto de tácticas para aparecer en los motores de búsqueda generativos — productos que combinan recuperación de información en tiempo real con un LLM: Google AI Overviews, Perplexity, ChatGPT Search, Bing Copilot, Gemini, Brave Summarizer. La diferencia importa: LLMO trabaja sobre el conocimiento "interno" del modelo (lo que aprendió durante el entrenamiento), mientras que GEO trabaja sobre la capa de recuperación que sucede en tiempo de consulta. Una buena estrategia ataca las dos.</w:t>
      </w:r>
    </w:p>
    <w:p>
      <w:pPr>
        <w:pStyle w:val="Heading2"/>
      </w:pPr>
      <w:r>
        <w:t xml:space="preserve">SEO tradicional vs. LLMO / GEO</w:t>
      </w:r>
    </w:p>
    <w:p>
      <w:r>
        <w:t xml:space="preserve">---</w:t>
      </w:r>
    </w:p>
    <w:p>
      <w:r>
        <w:t xml:space="preserve">---</w:t>
      </w:r>
    </w:p>
    <w:p>
      <w:r>
        <w:t xml:space="preserve">---</w:t>
      </w:r>
    </w:p>
    <w:p>
      <w:r>
        <w:t xml:space="preserve">Objetivo</w:t>
      </w:r>
    </w:p>
    <w:p>
      <w:r>
        <w:t xml:space="preserve">Ranking en SERP</w:t>
      </w:r>
    </w:p>
    <w:p>
      <w:r>
        <w:t xml:space="preserve">Ser citado, mencionado o recomendado</w:t>
      </w:r>
    </w:p>
    <w:p>
      <w:r>
        <w:t xml:space="preserve">Unidad de éxito</w:t>
      </w:r>
    </w:p>
    <w:p>
      <w:r>
        <w:t xml:space="preserve">Posición y CTR</w:t>
      </w:r>
    </w:p>
    <w:p>
      <w:r>
        <w:t xml:space="preserve">Share of voice en respuestas de IA</w:t>
      </w:r>
    </w:p>
    <w:p>
      <w:r>
        <w:t xml:space="preserve">Señales clave</w:t>
      </w:r>
    </w:p>
    <w:p>
      <w:r>
        <w:t xml:space="preserve">Backlinks, keywords, Core Web Vitals</w:t>
      </w:r>
    </w:p>
    <w:p>
      <w:r>
        <w:t xml:space="preserve">Autoridad temática, datos estructurados, citabilidad</w:t>
      </w:r>
    </w:p>
    <w:p>
      <w:r>
        <w:t xml:space="preserve">Formato preferido</w:t>
      </w:r>
    </w:p>
    <w:p>
      <w:r>
        <w:t xml:space="preserve">Páginas largas con keywords</w:t>
      </w:r>
    </w:p>
    <w:p>
      <w:r>
        <w:t xml:space="preserve">Respuestas claras, listicles, tablas, FAQs</w:t>
      </w:r>
    </w:p>
    <w:p>
      <w:r>
        <w:t xml:space="preserve">Medición</w:t>
      </w:r>
    </w:p>
    <w:p>
      <w:r>
        <w:t xml:space="preserve">Search Console, Analytics</w:t>
      </w:r>
    </w:p>
    <w:p>
      <w:r>
        <w:t xml:space="preserve">Brand monitoring en LLMs y motores generativos</w:t>
      </w:r>
    </w:p>
    <w:p>
      <w:r>
        <w:t xml:space="preserve">Ciclo de actualización</w:t>
      </w:r>
    </w:p>
    <w:p>
      <w:r>
        <w:t xml:space="preserve">Semanas / meses</w:t>
      </w:r>
    </w:p>
    <w:p>
      <w:r>
        <w:t xml:space="preserve">Días — los modelos reentrenan e indexan continuamente</w:t>
      </w:r>
    </w:p>
    <w:p>
      <w:r>
        <w:t xml:space="preserve">---</w:t>
      </w:r>
    </w:p>
    <w:p>
      <w:r>
        <w:t xml:space="preserve">---</w:t>
      </w:r>
    </w:p>
    <w:p>
      <w:r>
        <w:t xml:space="preserve">---</w:t>
      </w:r>
    </w:p>
    <w:p>
      <w:r>
        <w:t xml:space="preserve">El SEO no muere; cambia de capa. Las señales clásicas (autoridad de dominio, contenido de calidad, performance técnica) siguen siendo la base: los motores generativos se alimentan justamente del web crawling. Pero arriba de esa base aparece una capa nueva: ¿el contenido es fácil de citar para una IA?</w:t>
      </w:r>
    </w:p>
    <w:p>
      <w:r>
        <w:t xml:space="preserve">Adobe LLM Optimizer: la respuesta del stack Adobe Adobe presentó Adobe LLM Optimizer como parte de Adobe Experience Manager, dentro de la apuesta de la compañía por la Agentic AI y la nueva Content Supply Chain. Es una herramienta diseñada específicamente para gestionar la visibilidad de marca en respuestas generadas por IA.</w:t>
      </w:r>
    </w:p>
    <w:p>
      <w:r>
        <w:t xml:space="preserve">Las capacidades que más impacto tienen para una marca:</w:t>
      </w:r>
    </w:p>
    <w:p>
      <w:r>
        <w:t xml:space="preserve">Monitoreo de presencia en LLMs: detecta en qué prompts y categorías aparece tu marca, con qué tono y frente a qué competidores. Análisis de gaps: identifica preguntas relevantes para tu negocio donde tu marca no está siendo citada. Recomendaciones de contenido: sugiere cambios concretos sobre páginas existentes para mejorar la probabilidad de citación. Publicación optimizada: integrado con AEM, permite publicar variantes optimizadas sin romper el flujo editorial. Métricas accionables: KPIs nuevos como citation share, brand sentiment in AI y cobertura por categoría. Para empresas que ya están en Adobe Experience Cloud, la ventaja es operativa: el contenido vive en AEM, los datos en Real-Time CDP, las experiencias se orquestan con Journey Optimizer y la optimización para IA se cierra en el mismo ecosistema.</w:t>
      </w:r>
    </w:p>
    <w:p>
      <w:r>
        <w:t xml:space="preserve">Si querés profundizar en cómo funciona la herramienta a nivel producto, escribimos un análisis dedicado: Cómo Adobe LLM Optimizer revoluciona la visibilidad de marca en la búsqueda impulsada por IA.</w:t>
      </w:r>
    </w:p>
    <w:p>
      <w:r>
        <w:t xml:space="preserve">Playbook: 7 pasos para empezar con LLMO y GEO</w:t>
      </w:r>
    </w:p>
    <w:p>
      <w:pPr>
        <w:pStyle w:val="ListParagraph"/>
        <w:numPr>
          <w:ilvl w:val="0"/>
          <w:numId w:val="1"/>
        </w:numPr>
      </w:pPr>
      <w:r>
        <w:t xml:space="preserve"> </w:t>
      </w:r>
      <w:r>
        <w:t xml:space="preserve">Mapear las preguntas que importan Antes de optimizar nada, listá las 20 a 50 preguntas reales que un comprador haría sobre tu categoría: comparativas, cómo elegir, mejores prácticas, problemas frecuentes. Esa lista es el universo donde tu marca tiene que aparecer.</w:t>
      </w:r>
      <w:r>
        <w:t xml:space="preserve"> </w:t>
      </w:r>
    </w:p>
    <w:p>
      <w:pPr>
        <w:pStyle w:val="ListParagraph"/>
        <w:numPr>
          <w:ilvl w:val="0"/>
          <w:numId w:val="1"/>
        </w:numPr>
      </w:pPr>
      <w:r>
        <w:t xml:space="preserve"> </w:t>
      </w:r>
      <w:r>
        <w:t xml:space="preserve">Auditar tu presencia actual en LLMs Lanzá esas mismas preguntas a ChatGPT, Gemini, Perplexity y Claude. Anotá: ¿aparece tu marca? ¿con qué tono? ¿qué competidores aparecen? Ese baseline es la métrica cero.</w:t>
      </w:r>
      <w:r>
        <w:t xml:space="preserve"> </w:t>
      </w:r>
    </w:p>
    <w:p>
      <w:pPr>
        <w:pStyle w:val="ListParagraph"/>
        <w:numPr>
          <w:ilvl w:val="0"/>
          <w:numId w:val="1"/>
        </w:numPr>
      </w:pPr>
      <w:r>
        <w:t xml:space="preserve"> </w:t>
      </w:r>
      <w:r>
        <w:t xml:space="preserve">Reescribir contenido para citabilidad Los LLMs prefieren contenido que se pueda extraer en un párrafo: respuestas directas al inicio, definiciones claras, listas numeradas, tablas comparativas, FAQs estructuradas. Convertí tus artículos pilares a este formato.</w:t>
      </w:r>
      <w:r>
        <w:t xml:space="preserve"> </w:t>
      </w:r>
    </w:p>
    <w:p>
      <w:pPr>
        <w:pStyle w:val="ListParagraph"/>
        <w:numPr>
          <w:ilvl w:val="0"/>
          <w:numId w:val="1"/>
        </w:numPr>
      </w:pPr>
      <w:r>
        <w:t xml:space="preserve"> </w:t>
      </w:r>
      <w:r>
        <w:t xml:space="preserve">Reforzar autoridad temática y datos estructurados Schema.org sigue siendo crítico (Organization, Product, FAQPage, Article, Review). Sumá a eso una arquitectura de pillar pages + clusters que demuestre profundidad temática — los modelos aprenden categorías, no páginas sueltas.</w:t>
      </w:r>
      <w:r>
        <w:t xml:space="preserve"> </w:t>
      </w:r>
    </w:p>
    <w:p>
      <w:pPr>
        <w:pStyle w:val="ListParagraph"/>
        <w:numPr>
          <w:ilvl w:val="0"/>
          <w:numId w:val="1"/>
        </w:numPr>
      </w:pPr>
      <w:r>
        <w:t xml:space="preserve"> </w:t>
      </w:r>
      <w:r>
        <w:t xml:space="preserve">Construir señales fuera del sitio Los LLMs se entrenan con menciones en medios, foros, Wikipedia, Reddit, YouTube, papers, comparadores y reviews. Una estrategia de PR digital, partnerships y presencia en comunidades pesa más que nunca.</w:t>
      </w:r>
      <w:r>
        <w:t xml:space="preserve"> </w:t>
      </w:r>
    </w:p>
    <w:p>
      <w:pPr>
        <w:pStyle w:val="ListParagraph"/>
        <w:numPr>
          <w:ilvl w:val="0"/>
          <w:numId w:val="1"/>
        </w:numPr>
      </w:pPr>
      <w:r>
        <w:t xml:space="preserve"> </w:t>
      </w:r>
      <w:r>
        <w:t xml:space="preserve">Adoptar herramientas como Adobe LLM Optimizer A escala, monitorear y optimizar manualmente la presencia en LLMs no es viable. Acá entra Adobe LLM Optimizer (o herramientas equivalentes) para industrializar el proceso dentro de tu stack.</w:t>
      </w:r>
      <w:r>
        <w:t xml:space="preserve"> </w:t>
      </w:r>
    </w:p>
    <w:p>
      <w:pPr>
        <w:pStyle w:val="ListParagraph"/>
        <w:numPr>
          <w:ilvl w:val="0"/>
          <w:numId w:val="1"/>
        </w:numPr>
      </w:pPr>
      <w:r>
        <w:t xml:space="preserve"> </w:t>
      </w:r>
      <w:r>
        <w:t xml:space="preserve">Medir share of voice en IA Definí KPIs nuevos: porcentaje de preguntas relevantes en las que tu marca aparece, posición dentro de la respuesta, sentimiento, share contra competidores directos. Esa es la nueva foto de mercado.</w:t>
      </w:r>
      <w:r>
        <w:t xml:space="preserve"> </w:t>
      </w:r>
    </w:p>
    <w:p>
      <w:r>
        <w:t xml:space="preserve">Las nuevas métricas: del CTR al share of voice en IA Las métricas tradicionales (sesiones, CTR, posición media) no desaparecen, pero se quedan cortas porque cada vez más usuarios resuelven sin hacer clic. Las preguntas que vale la pena empezar a responder con datos:</w:t>
      </w:r>
    </w:p>
    <w:p>
      <w:r>
        <w:t xml:space="preserve">¿En qué porcentaje de prompts relevantes aparece tu marca? ¿Qué competidores aparecen junto a la tuya — o en lugar de la tuya? ¿Con qué atributos asocia el modelo a tu marca? ¿coinciden con tu posicionamiento? ¿Qué páginas de tu sitio están siendo realmente citadas como fuente? ¿Cómo evoluciona ese share semana a semana cuando publicás contenido nuevo? Cómo lo abordamos desde WolfSellers Como partner Adobe especializado en Experience Cloud, ayudamos a marcas a integrar LLMO y GEO en su operación de contenido: auditoría de presencia en IA, rediseño de pillar content para citabilidad, implementación de datos estructurados, despliegue de Adobe LLM Optimizer dentro de AEM y definición de tableros de share of voice.</w:t>
      </w:r>
    </w:p>
    <w:p>
      <w:r>
        <w:t xml:space="preserve">Si tu marca ya invierte en contenido y SEO, optimizar para LLMs y motores generativos no es empezar de cero: es agregar una capa que protege la inversión que ya hiciste, frente a un comportamiento de búsqueda que está cambiando rápido.</w:t>
      </w:r>
    </w:p>
    <w:p>
      <w:r>
        <w:t xml:space="preserve">¿Querés ver cómo aparece tu marca hoy en ChatGPT, Gemini y Perplexity? Hablemos — armamos juntos tu primer baseline de visibilidad en IA.</w:t>
      </w:r>
    </w:p>
    <w:p>
      <w:r>
        <w:t xml:space="preserve">Servicios relacionados Si este tema es relevante para tu negocio, estos servicios de WolfSellers pueden ayudarte a implementarlo:</w:t>
      </w:r>
    </w:p>
    <w:p>
      <w:r>
        <w:t xml:space="preserve">Adobe Experience Platform Adobe Experience Manager IA </w:t>
      </w:r>
      <w:r>
        <w:t xml:space="preserve">&amp;</w:t>
      </w:r>
      <w:r>
        <w:t xml:space="preserve"> Automatización</w:t>
      </w:r>
    </w:p>
    <w:p>
      <w:r>
        <w:t xml:space="preserve">Click aquí</w:t>
      </w:r>
    </w:p>
    <w:p>
      <w:pPr>
        <w:pBdr>
          <w:bottom w:val="single" w:color="000000" w:sz="6" w:space="1"/>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9360"/>
            <w:gridSpan w:val="2"/>
            <w:tcBorders>
              <w:top w:val="single" w:color="999999" w:sz="4"/>
              <w:left w:val="single" w:color="999999" w:sz="4"/>
              <w:bottom w:val="single" w:color="999999" w:sz="4"/>
              <w:right w:val="single" w:color="999999" w:sz="4"/>
            </w:tcBorders>
          </w:tcPr>
          <w:p>
            <w:r>
              <w:rPr>
                <w:b/>
                <w:bCs/>
              </w:rPr>
              <w:t xml:space="preserve">Metadata</w:t>
            </w:r>
          </w:p>
        </w:tc>
      </w:tr>
      <w:tr>
        <w:tc>
          <w:tcPr>
            <w:tcW w:type="dxa" w:w="4680"/>
            <w:tcBorders>
              <w:top w:val="single" w:color="999999" w:sz="4"/>
              <w:left w:val="single" w:color="999999" w:sz="4"/>
              <w:bottom w:val="single" w:color="999999" w:sz="4"/>
              <w:right w:val="single" w:color="999999" w:sz="4"/>
            </w:tcBorders>
          </w:tcPr>
          <w:p>
            <w:r>
              <w:t xml:space="preserve">Title</w:t>
            </w:r>
          </w:p>
        </w:tc>
        <w:tc>
          <w:tcPr>
            <w:tcW w:type="dxa" w:w="4680"/>
            <w:tcBorders>
              <w:top w:val="single" w:color="999999" w:sz="4"/>
              <w:left w:val="single" w:color="999999" w:sz="4"/>
              <w:bottom w:val="single" w:color="999999" w:sz="4"/>
              <w:right w:val="single" w:color="999999" w:sz="4"/>
            </w:tcBorders>
          </w:tcPr>
          <w:p>
            <w:r>
              <w:t xml:space="preserve">Titulo 1</w:t>
            </w:r>
          </w:p>
        </w:tc>
      </w:tr>
      <w:tr>
        <w:tc>
          <w:tcPr>
            <w:tcW w:type="dxa" w:w="4680"/>
            <w:tcBorders>
              <w:top w:val="single" w:color="999999" w:sz="4"/>
              <w:left w:val="single" w:color="999999" w:sz="4"/>
              <w:bottom w:val="single" w:color="999999" w:sz="4"/>
              <w:right w:val="single" w:color="999999" w:sz="4"/>
            </w:tcBorders>
          </w:tcPr>
          <w:p>
            <w:r>
              <w:t xml:space="preserve">Description</w:t>
            </w:r>
          </w:p>
        </w:tc>
        <w:tc>
          <w:tcPr>
            <w:tcW w:type="dxa" w:w="4680"/>
            <w:tcBorders>
              <w:top w:val="single" w:color="999999" w:sz="4"/>
              <w:left w:val="single" w:color="999999" w:sz="4"/>
              <w:bottom w:val="single" w:color="999999" w:sz="4"/>
              <w:right w:val="single" w:color="999999" w:sz="4"/>
            </w:tcBorders>
          </w:tcPr>
          <w:p>
            <w:r>
              <w:t xml:space="preserve">Puntos Net, Resumen SEO del articulo</w:t>
            </w:r>
          </w:p>
        </w:tc>
      </w:tr>
      <w:tr>
        <w:tc>
          <w:tcPr>
            <w:tcW w:type="dxa" w:w="4680"/>
            <w:tcBorders>
              <w:top w:val="single" w:color="999999" w:sz="4"/>
              <w:left w:val="single" w:color="999999" w:sz="4"/>
              <w:bottom w:val="single" w:color="999999" w:sz="4"/>
              <w:right w:val="single" w:color="999999" w:sz="4"/>
            </w:tcBorders>
          </w:tcPr>
          <w:p>
            <w:r>
              <w:t xml:space="preserve">Image</w:t>
            </w:r>
          </w:p>
        </w:tc>
        <w:tc>
          <w:tcPr>
            <w:tcW w:type="dxa" w:w="4680"/>
            <w:tcBorders>
              <w:top w:val="single" w:color="999999" w:sz="4"/>
              <w:left w:val="single" w:color="999999" w:sz="4"/>
              <w:bottom w:val="single" w:color="999999" w:sz="4"/>
              <w:right w:val="single" w:color="999999" w:sz="4"/>
            </w:tcBorders>
          </w:tcPr>
          <w:p>
            <w:r>
              <w:drawing>
                <wp:inline distT="0" distB="0" distL="0" distR="0">
                  <wp:extent cx="4286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552700"/>
                          </a:xfrm>
                          <a:prstGeom prst="rect">
                            <a:avLst/>
                          </a:prstGeom>
                        </pic:spPr>
                      </pic:pic>
                    </a:graphicData>
                  </a:graphic>
                </wp:inline>
              </w:drawing>
            </w:r>
          </w:p>
        </w:tc>
      </w:tr>
      <w:tr>
        <w:tc>
          <w:tcPr>
            <w:tcW w:type="dxa" w:w="4680"/>
            <w:tcBorders>
              <w:top w:val="single" w:color="999999" w:sz="4"/>
              <w:left w:val="single" w:color="999999" w:sz="4"/>
              <w:bottom w:val="single" w:color="999999" w:sz="4"/>
              <w:right w:val="single" w:color="999999" w:sz="4"/>
            </w:tcBorders>
          </w:tcPr>
          <w:p>
            <w:r>
              <w:t xml:space="preserve">og:description</w:t>
            </w:r>
          </w:p>
        </w:tc>
        <w:tc>
          <w:tcPr>
            <w:tcW w:type="dxa" w:w="4680"/>
            <w:tcBorders>
              <w:top w:val="single" w:color="999999" w:sz="4"/>
              <w:left w:val="single" w:color="999999" w:sz="4"/>
              <w:bottom w:val="single" w:color="999999" w:sz="4"/>
              <w:right w:val="single" w:color="999999" w:sz="4"/>
            </w:tcBorders>
          </w:tcPr>
          <w:p>
            <w:r>
              <w:t xml:space="preserve">Resumen SEO del articulo</w:t>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53e95856cd5386f2198943ff3e013225f781c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2026-09-22T01:25:32.517Z</dcterms:created>
  <dcterms:modified xsi:type="dcterms:W3CDTF">2026-09-22T01:25:32.517Z</dcterms:modified>
</cp:coreProperties>
</file>

<file path=docProps/custom.xml><?xml version="1.0" encoding="utf-8"?>
<Properties xmlns="http://schemas.openxmlformats.org/officeDocument/2006/custom-properties" xmlns:vt="http://schemas.openxmlformats.org/officeDocument/2006/docPropsVTypes"/>
</file>