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1a1a"/>
          <w:sz w:val="42"/>
          <w:szCs w:val="42"/>
        </w:rPr>
        <w:t xml:space="preserve">PERFIL DE DECISIÓN</w:t>
      </w:r>
    </w:p>
    <w:p>
      <w:pPr>
        <w:spacing w:after="200"/>
      </w:pPr>
      <w:r>
        <w:rPr>
          <w:rFonts w:ascii="Georgia" w:cs="Georgia" w:eastAsia="Georgia" w:hAnsi="Georgia"/>
          <w:b w:val="false"/>
          <w:bCs w:val="false"/>
          <w:i/>
          <w:iCs/>
          <w:color w:val="8a3324"/>
          <w:sz w:val="26"/>
          <w:szCs w:val="26"/>
        </w:rPr>
        <w:t xml:space="preserve">Mapa para el diseño de tu Segundo Cerebro</w:t>
      </w:r>
    </w:p>
    <w:p>
      <w:pPr>
        <w:spacing w:after="40"/>
      </w:pPr>
      <w:r>
        <w:rPr>
          <w:rFonts w:ascii="Arial" w:cs="Arial" w:eastAsia="Arial" w:hAnsi="Arial"/>
          <w:color w:val="5a5a5a"/>
          <w:sz w:val="19"/>
          <w:szCs w:val="19"/>
        </w:rPr>
        <w:t xml:space="preserve">Daniel Gerardo Cárdenas Espinosa</w:t>
      </w:r>
    </w:p>
    <w:p>
      <w:pPr>
        <w:spacing w:after="300"/>
      </w:pPr>
      <w:r>
        <w:rPr>
          <w:rFonts w:ascii="Arial" w:cs="Arial" w:eastAsia="Arial" w:hAnsi="Arial"/>
          <w:color w:val="5a5a5a"/>
          <w:sz w:val="18"/>
          <w:szCs w:val="18"/>
        </w:rPr>
        <w:t xml:space="preserve">Extraído de decisiones reales tomadas en Automatiza Procesos, Col Premium Berries, Al Natural Café Orgánico, el pipeline RAM/ICBF y Finanzas360 · Agosto 2026</w:t>
      </w:r>
    </w:p>
    <w:p>
      <w:pPr>
        <w:spacing w:after="60" w:before="160"/>
      </w:pPr>
      <w:r>
        <w:rPr>
          <w:rFonts w:ascii="Arial" w:cs="Arial" w:eastAsia="Arial" w:hAnsi="Arial"/>
          <w:b/>
          <w:bCs/>
          <w:color w:val="8a3324"/>
          <w:sz w:val="18"/>
          <w:szCs w:val="18"/>
        </w:rPr>
        <w:t xml:space="preserve">METODOLOGÍA</w:t>
      </w:r>
    </w:p>
    <w:p>
      <w:pPr>
        <w:spacing w:after="100"/>
      </w:pPr>
      <w:r>
        <w:rPr>
          <w:rFonts w:ascii="Arial" w:cs="Arial" w:eastAsia="Arial" w:hAnsi="Arial"/>
          <w:i w:val="false"/>
          <w:iCs w:val="false"/>
          <w:color w:val="1a1a1a"/>
          <w:sz w:val="21"/>
          <w:szCs w:val="21"/>
        </w:rPr>
        <w:t xml:space="preserve">Este documento no es un test de personalidad ni una lista de cualidades genéricas. Cada patrón está sacado de un momento de decisión real, documentado en tus propias conversaciones: el diseño del Kardex de Col Premium Berries, el costeo del helado, la negociación de comisión con Rappi, la construcción del pipeline RAM para el ICBF, la evaluación del negocio de corte láser, la reestructuración del CV. Donde el patrón es fuerte, se nombra la regla operativa que se puede codificar en un sistema. Donde hay una debilidad estructural, se nombra directamente — un segundo cerebro que solo copia tus fortalezas y esconde tus puntos ciegos no te sirve.</w:t>
      </w:r>
    </w:p>
    <w:p>
      <w:pPr>
        <w:pStyle w:val="Heading1"/>
        <w:pBdr>
          <w:bottom w:val="single" w:color="cfcac2" w:sz="6" w:space="4"/>
        </w:pBdr>
        <w:spacing w:after="140" w:before="420"/>
      </w:pPr>
      <w:r>
        <w:rPr>
          <w:rFonts w:ascii="Georgia" w:cs="Georgia" w:eastAsia="Georgia" w:hAnsi="Georgia"/>
          <w:b/>
          <w:bCs/>
          <w:color w:val="8a3324"/>
          <w:sz w:val="26"/>
          <w:szCs w:val="26"/>
        </w:rPr>
        <w:t xml:space="preserve">1. </w:t>
      </w:r>
      <w:r>
        <w:rPr>
          <w:rFonts w:ascii="Georgia" w:cs="Georgia" w:eastAsia="Georgia" w:hAnsi="Georgia"/>
          <w:b/>
          <w:bCs/>
          <w:color w:val="1a1a1a"/>
          <w:sz w:val="26"/>
          <w:szCs w:val="26"/>
        </w:rPr>
        <w:t xml:space="preserve">Haces preguntas</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No preguntas en abstracto. Cuando planteas un problema, casi nunca lo haces como duda genérica — lo haces con un ejemplo numérico concreto que ya trae la mitad de la especificación adentro. Y cuando no tienes el dato, no lo inventas ni lo dejas pasar: lo señalas explícitamente como un vacío que hay que llenar antes de seguir.</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Kardex de Col Premium Berries: no preguntaste "¿cómo llevo el inventario?" — diste el caso exacto: "si se agregaron 250 en esa semana tiene que responder el sistema por esos 250 o colocar al final falta por descargar tantos de esa semana". Esa frase ya es una especificación funcional.</w:t>
      </w:r>
    </w:p>
    <w:p>
      <w:pPr>
        <w:pStyle w:val="ListParagraph"/>
        <w:numPr>
          <w:ilvl w:val="0"/>
          <w:numId w:val="2"/>
        </w:numPr>
        <w:spacing w:after="60"/>
      </w:pPr>
      <w:r>
        <w:rPr>
          <w:rFonts w:ascii="Arial" w:cs="Arial" w:eastAsia="Arial" w:hAnsi="Arial"/>
          <w:color w:val="1a1a1a"/>
          <w:sz w:val="20"/>
          <w:szCs w:val="20"/>
        </w:rPr>
        <w:t xml:space="preserve">Monitor SECOP / campo RUP: cuando Claude te preguntó qué nivel de detalle capturar, tu respuesta no fue una suposición — fue "eso es lo que necesito que investigues", delegando la pregunta a la fuente correcta en vez de adivinar.</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Antes de pedir una solución, conviertes la pregunta en un caso concreto con números o un ejemplo real. Si no tienes el dato, lo marcas como pendiente de investigar — nunca lo rellenas con un supuesto.</w:t>
      </w:r>
    </w:p>
    <w:p>
      <w:pPr>
        <w:pStyle w:val="Heading1"/>
        <w:pBdr>
          <w:bottom w:val="single" w:color="cfcac2" w:sz="6" w:space="4"/>
        </w:pBdr>
        <w:spacing w:after="140" w:before="420"/>
      </w:pPr>
      <w:r>
        <w:rPr>
          <w:rFonts w:ascii="Georgia" w:cs="Georgia" w:eastAsia="Georgia" w:hAnsi="Georgia"/>
          <w:b/>
          <w:bCs/>
          <w:color w:val="8a3324"/>
          <w:sz w:val="26"/>
          <w:szCs w:val="26"/>
        </w:rPr>
        <w:t xml:space="preserve">2. </w:t>
      </w:r>
      <w:r>
        <w:rPr>
          <w:rFonts w:ascii="Georgia" w:cs="Georgia" w:eastAsia="Georgia" w:hAnsi="Georgia"/>
          <w:b/>
          <w:bCs/>
          <w:color w:val="1a1a1a"/>
          <w:sz w:val="26"/>
          <w:szCs w:val="26"/>
        </w:rPr>
        <w:t xml:space="preserve">Descompones problemas</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Tu forma de trabajar autodescrita es exactamente esto: "me dan un problema o un trabajo que es repetitivo y yo me encargo de analizar, crear el flujo para optimizarlo y de más y buscar quien lo haga". No ejecutas primero — separas el problema en su lógica (el flujo) antes de tocar la herramienta que lo va a resolver.</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Tu propia definición de perfil: "te dan un proceso roto o repetitivo → tú lo descompones → diseñas el flujo óptimo → buscas quién lo implemente" — arquitecto de procesos, no operador.</w:t>
      </w:r>
    </w:p>
    <w:p>
      <w:pPr>
        <w:pStyle w:val="ListParagraph"/>
        <w:numPr>
          <w:ilvl w:val="0"/>
          <w:numId w:val="2"/>
        </w:numPr>
        <w:spacing w:after="60"/>
      </w:pPr>
      <w:r>
        <w:rPr>
          <w:rFonts w:ascii="Arial" w:cs="Arial" w:eastAsia="Arial" w:hAnsi="Arial"/>
          <w:color w:val="1a1a1a"/>
          <w:sz w:val="20"/>
          <w:szCs w:val="20"/>
        </w:rPr>
        <w:t xml:space="preserve">RAM/ICBF: cuando el formulario real resultó tener una estructura de dos niveles (semana → día → subcolumna Grupal/Hogar) distinta a la asumida, el problema se descompuso en la convención de calendario correcta ("Nª ocurrencia del día de la semana dentro del mes") antes de tocar una sola línea de extracción de datos.</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Separas siempre la lógica del proceso (el flujo, las reglas, los casos límite) de su implementación técnica. La lógica se valida primero, con o sin código.</w:t>
      </w:r>
    </w:p>
    <w:p>
      <w:pPr>
        <w:pStyle w:val="Heading1"/>
        <w:pBdr>
          <w:bottom w:val="single" w:color="cfcac2" w:sz="6" w:space="4"/>
        </w:pBdr>
        <w:spacing w:after="140" w:before="420"/>
      </w:pPr>
      <w:r>
        <w:rPr>
          <w:rFonts w:ascii="Georgia" w:cs="Georgia" w:eastAsia="Georgia" w:hAnsi="Georgia"/>
          <w:b/>
          <w:bCs/>
          <w:color w:val="8a3324"/>
          <w:sz w:val="26"/>
          <w:szCs w:val="26"/>
        </w:rPr>
        <w:t xml:space="preserve">3. </w:t>
      </w:r>
      <w:r>
        <w:rPr>
          <w:rFonts w:ascii="Georgia" w:cs="Georgia" w:eastAsia="Georgia" w:hAnsi="Georgia"/>
          <w:b/>
          <w:bCs/>
          <w:color w:val="1a1a1a"/>
          <w:sz w:val="26"/>
          <w:szCs w:val="26"/>
        </w:rPr>
        <w:t xml:space="preserve">Decides si automatizar</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Automatizas cuando el proceso es repetitivo, de volumen alto, y el costo del error humano o del tiempo perdido es medible en dinero u horas. No automatizas por automatizar — automatizas donde ya hay evidencia de dolor cuantificado.</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Cuotas partes pensionales (SENA): un proceso manual de 8-10 casos al mes escaló a 456 pensionados de 112 entidades — automatización justificada por volumen y complejidad documental repetitiva.</w:t>
      </w:r>
    </w:p>
    <w:p>
      <w:pPr>
        <w:pStyle w:val="ListParagraph"/>
        <w:numPr>
          <w:ilvl w:val="0"/>
          <w:numId w:val="2"/>
        </w:numPr>
        <w:spacing w:after="60"/>
      </w:pPr>
      <w:r>
        <w:rPr>
          <w:rFonts w:ascii="Arial" w:cs="Arial" w:eastAsia="Arial" w:hAnsi="Arial"/>
          <w:color w:val="1a1a1a"/>
          <w:sz w:val="20"/>
          <w:szCs w:val="20"/>
        </w:rPr>
        <w:t xml:space="preserve">Conciliación DXCR: 5 días entre 4 personas se redujo a 1 hora con más de $1.000 millones conciliados — automatización justificada porque el costo de NO automatizar era directamente cuantificable en horas-persona y riesgo de dinero sin identificar.</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Automatizas cuando puedes nombrar el volumen actual, la frecuencia y el costo en tiempo o dinero del proceso manual. Sin esos tres números, todavía no es candidato a automatización — es una idea.</w:t>
      </w:r>
    </w:p>
    <w:p>
      <w:pPr>
        <w:pStyle w:val="Heading1"/>
        <w:pBdr>
          <w:bottom w:val="single" w:color="cfcac2" w:sz="6" w:space="4"/>
        </w:pBdr>
        <w:spacing w:after="140" w:before="420"/>
      </w:pPr>
      <w:r>
        <w:rPr>
          <w:rFonts w:ascii="Georgia" w:cs="Georgia" w:eastAsia="Georgia" w:hAnsi="Georgia"/>
          <w:b/>
          <w:bCs/>
          <w:color w:val="8a3324"/>
          <w:sz w:val="26"/>
          <w:szCs w:val="26"/>
        </w:rPr>
        <w:t xml:space="preserve">4. </w:t>
      </w:r>
      <w:r>
        <w:rPr>
          <w:rFonts w:ascii="Georgia" w:cs="Georgia" w:eastAsia="Georgia" w:hAnsi="Georgia"/>
          <w:b/>
          <w:bCs/>
          <w:color w:val="1a1a1a"/>
          <w:sz w:val="26"/>
          <w:szCs w:val="26"/>
        </w:rPr>
        <w:t xml:space="preserve">Buscas primero la solución más sencilla</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Antes de construir infraestructura nueva, usas lo que el negocio ya tiene funcionando (Excel, Sheets, WhatsApp, Google Apps Script). Y cuando algo se vuelve invendible por sobre-construcción, cortas: vendes con lo mínimo viable en vez de perfeccionar en el vacío.</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Con un solo caso ejecutado (consolidación de libros para una contadora) preguntaste por página web, asistente IA y automatización — y aceptaste la corrección de construir eso solo después de tener 2-3 casos documentados, no antes.</w:t>
      </w:r>
    </w:p>
    <w:p>
      <w:pPr>
        <w:pStyle w:val="ListParagraph"/>
        <w:numPr>
          <w:ilvl w:val="0"/>
          <w:numId w:val="2"/>
        </w:numPr>
        <w:spacing w:after="60"/>
      </w:pPr>
      <w:r>
        <w:rPr>
          <w:rFonts w:ascii="Arial" w:cs="Arial" w:eastAsia="Arial" w:hAnsi="Arial"/>
          <w:color w:val="1a1a1a"/>
          <w:sz w:val="20"/>
          <w:szCs w:val="20"/>
        </w:rPr>
        <w:t xml:space="preserve">Toda tu infraestructura de gestión (Col Premium Berries, Finanzas360, Al Natural backend) corre sobre Google Apps Script y Google Sheets: la herramienta que ya conoces y que el negocio ya tiene, no un stack nuevo por sofisticación.</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Antes de proponer una herramienta nueva, primero preguntas si Excel, Sheets o WhatsApp ya resuelven el 80% del problema. Solo escalas la infraestructura cuando el volumen o la complejidad ya rompió esa capa simple.</w:t>
      </w:r>
    </w:p>
    <w:p>
      <w:pPr>
        <w:spacing w:after="160"/>
      </w:pPr>
      <w:r>
        <w:rPr>
          <w:rFonts w:ascii="Arial" w:cs="Arial" w:eastAsia="Arial" w:hAnsi="Arial"/>
          <w:b/>
          <w:bCs/>
          <w:color w:val="7a1f1f"/>
          <w:sz w:val="19"/>
          <w:szCs w:val="19"/>
        </w:rPr>
        <w:t xml:space="preserve">Punto ciego: </w:t>
      </w:r>
      <w:r>
        <w:rPr>
          <w:rFonts w:ascii="Arial" w:cs="Arial" w:eastAsia="Arial" w:hAnsi="Arial"/>
          <w:i/>
          <w:iCs/>
          <w:color w:val="1a1a1a"/>
          <w:sz w:val="19"/>
          <w:szCs w:val="19"/>
        </w:rPr>
        <w:t xml:space="preserve">En Al Natural, la receta del helado se te fue de las manos en la dirección contraria — subiste leche en polvo un 237% sin recalcular el costo, y terminaste con margen del 26% en vez del 3x que exige tu propia regla. La solución simple (mantener la proporción original) se abandonó sin verificar el impacto antes de escalar la receta.</w:t>
      </w:r>
    </w:p>
    <w:p>
      <w:pPr>
        <w:pStyle w:val="Heading1"/>
        <w:pBdr>
          <w:bottom w:val="single" w:color="cfcac2" w:sz="6" w:space="4"/>
        </w:pBdr>
        <w:spacing w:after="140" w:before="420"/>
      </w:pPr>
      <w:r>
        <w:rPr>
          <w:rFonts w:ascii="Georgia" w:cs="Georgia" w:eastAsia="Georgia" w:hAnsi="Georgia"/>
          <w:b/>
          <w:bCs/>
          <w:color w:val="8a3324"/>
          <w:sz w:val="26"/>
          <w:szCs w:val="26"/>
        </w:rPr>
        <w:t xml:space="preserve">5. </w:t>
      </w:r>
      <w:r>
        <w:rPr>
          <w:rFonts w:ascii="Georgia" w:cs="Georgia" w:eastAsia="Georgia" w:hAnsi="Georgia"/>
          <w:b/>
          <w:bCs/>
          <w:color w:val="1a1a1a"/>
          <w:sz w:val="26"/>
          <w:szCs w:val="26"/>
        </w:rPr>
        <w:t xml:space="preserve">Comparas alternativas</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Cuando hay más de un camino, no te quedas con la primera cifra — pides el desglose exacto de cada opción antes de decidir, incluyendo lo que a primera vista parece igual pero no lo es.</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Comisión Rappi: no aceptaste "+20% encima" sin más — exigiste ver la diferencia real entre "+20% encima del precio" ($11.520 recibidos) contra "precio que cubre el 20% de comisión" ($12.000 recibidos exactos), y elegiste la que protege el margen real.</w:t>
      </w:r>
    </w:p>
    <w:p>
      <w:pPr>
        <w:pStyle w:val="ListParagraph"/>
        <w:numPr>
          <w:ilvl w:val="0"/>
          <w:numId w:val="2"/>
        </w:numPr>
        <w:spacing w:after="60"/>
      </w:pPr>
      <w:r>
        <w:rPr>
          <w:rFonts w:ascii="Arial" w:cs="Arial" w:eastAsia="Arial" w:hAnsi="Arial"/>
          <w:color w:val="1a1a1a"/>
          <w:sz w:val="20"/>
          <w:szCs w:val="20"/>
        </w:rPr>
        <w:t xml:space="preserve">Negocio de corte láser vs. photobooth vs. dispensador de higiene: pediste la comparación completa de inversión, riesgo y mercado antes de descartar el láser — no por intuición, sino porque acumulaba "demasiados riesgos simultáneos" frente a las otras dos opciones con demanda ya probada.</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Nunca comparas por impresión general. Pides el número final que cada alternativa deja en el bolsillo (margen neto, tiempo real, riesgo acumulado) antes de elegir.</w:t>
      </w:r>
    </w:p>
    <w:p>
      <w:pPr>
        <w:pStyle w:val="Heading1"/>
        <w:pBdr>
          <w:bottom w:val="single" w:color="cfcac2" w:sz="6" w:space="4"/>
        </w:pBdr>
        <w:spacing w:after="140" w:before="420"/>
      </w:pPr>
      <w:r>
        <w:rPr>
          <w:rFonts w:ascii="Georgia" w:cs="Georgia" w:eastAsia="Georgia" w:hAnsi="Georgia"/>
          <w:b/>
          <w:bCs/>
          <w:color w:val="8a3324"/>
          <w:sz w:val="26"/>
          <w:szCs w:val="26"/>
        </w:rPr>
        <w:t xml:space="preserve">6. </w:t>
      </w:r>
      <w:r>
        <w:rPr>
          <w:rFonts w:ascii="Georgia" w:cs="Georgia" w:eastAsia="Georgia" w:hAnsi="Georgia"/>
          <w:b/>
          <w:bCs/>
          <w:color w:val="1a1a1a"/>
          <w:sz w:val="26"/>
          <w:szCs w:val="26"/>
        </w:rPr>
        <w:t xml:space="preserve">Decides cuándo hacer un prototipo</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Exiges ver la versión visual o funcional antes de aprobar el paso a producción — especialmente en diseño de interfaz y en integraciones con datos externos que no controlas.</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Página de Automatiza Procesos: tu instrucción explícita fue "construye primero el prototipo de la página como te la pedí", antes de cualquier ajuste de contenido o backend real.</w:t>
      </w:r>
    </w:p>
    <w:p>
      <w:pPr>
        <w:pStyle w:val="ListParagraph"/>
        <w:numPr>
          <w:ilvl w:val="0"/>
          <w:numId w:val="2"/>
        </w:numPr>
        <w:spacing w:after="60"/>
      </w:pPr>
      <w:r>
        <w:rPr>
          <w:rFonts w:ascii="Arial" w:cs="Arial" w:eastAsia="Arial" w:hAnsi="Arial"/>
          <w:color w:val="1a1a1a"/>
          <w:sz w:val="20"/>
          <w:szCs w:val="20"/>
        </w:rPr>
        <w:t xml:space="preserve">Pipeline RAM: el sistema se validó completo contra un documento sintético (con resultado esperado conocido) antes de que llegara el PDF real del ICBF — la validación previa detectó y corrigió tres bugs de calibración antes de tocar datos reales.</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Todo lo visual (interfaces, reportes, páginas) y todo lo que depende de una fuente de datos externa que no controlas (formularios oficiales, APIs públicas) pasa por una versión de prueba antes de la versión final.</w:t>
      </w:r>
    </w:p>
    <w:p>
      <w:pPr>
        <w:pStyle w:val="Heading1"/>
        <w:pBdr>
          <w:bottom w:val="single" w:color="cfcac2" w:sz="6" w:space="4"/>
        </w:pBdr>
        <w:spacing w:after="140" w:before="420"/>
      </w:pPr>
      <w:r>
        <w:rPr>
          <w:rFonts w:ascii="Georgia" w:cs="Georgia" w:eastAsia="Georgia" w:hAnsi="Georgia"/>
          <w:b/>
          <w:bCs/>
          <w:color w:val="8a3324"/>
          <w:sz w:val="26"/>
          <w:szCs w:val="26"/>
        </w:rPr>
        <w:t xml:space="preserve">7. </w:t>
      </w:r>
      <w:r>
        <w:rPr>
          <w:rFonts w:ascii="Georgia" w:cs="Georgia" w:eastAsia="Georgia" w:hAnsi="Georgia"/>
          <w:b/>
          <w:bCs/>
          <w:color w:val="1a1a1a"/>
          <w:sz w:val="26"/>
          <w:szCs w:val="26"/>
        </w:rPr>
        <w:t xml:space="preserve">Estimas impacto</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No apruebas un cambio sin el número exacto en pesos o porcentaje. "Se ve mejor" no es una razón suficiente — necesitas ver el costo por unidad, el margen resultante o las horas ahorradas.</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Costeo del helado: exigiste la tabla completa de costo por insumo, costo por unidad y margen resultante en cada escenario de precio (4oz vs 6oz, $1.500 vs $2.000 vs $2.500) antes de decidir el tamaño y precio final.</w:t>
      </w:r>
    </w:p>
    <w:p>
      <w:pPr>
        <w:pStyle w:val="ListParagraph"/>
        <w:numPr>
          <w:ilvl w:val="0"/>
          <w:numId w:val="2"/>
        </w:numPr>
        <w:spacing w:after="60"/>
      </w:pPr>
      <w:r>
        <w:rPr>
          <w:rFonts w:ascii="Arial" w:cs="Arial" w:eastAsia="Arial" w:hAnsi="Arial"/>
          <w:color w:val="1a1a1a"/>
          <w:sz w:val="20"/>
          <w:szCs w:val="20"/>
        </w:rPr>
        <w:t xml:space="preserve">CV profesional: convertiste cada logro en una métrica verificable — ×45 en velocidad de liquidación pensional, 5 días→1 hora en conciliación DXCR, 15%→24% en margen — en vez de descripciones cualitativas de "mejoré el proceso".</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Cualquier decisión de precio, receta, canal de venta o inversión pasa primero por una tabla de costo/beneficio con cifras reales, no estimaciones verbales.</w:t>
      </w:r>
    </w:p>
    <w:p>
      <w:pPr>
        <w:pStyle w:val="Heading1"/>
        <w:pBdr>
          <w:bottom w:val="single" w:color="cfcac2" w:sz="6" w:space="4"/>
        </w:pBdr>
        <w:spacing w:after="140" w:before="420"/>
      </w:pPr>
      <w:r>
        <w:rPr>
          <w:rFonts w:ascii="Georgia" w:cs="Georgia" w:eastAsia="Georgia" w:hAnsi="Georgia"/>
          <w:b/>
          <w:bCs/>
          <w:color w:val="8a3324"/>
          <w:sz w:val="26"/>
          <w:szCs w:val="26"/>
        </w:rPr>
        <w:t xml:space="preserve">8. </w:t>
      </w:r>
      <w:r>
        <w:rPr>
          <w:rFonts w:ascii="Georgia" w:cs="Georgia" w:eastAsia="Georgia" w:hAnsi="Georgia"/>
          <w:b/>
          <w:bCs/>
          <w:color w:val="1a1a1a"/>
          <w:sz w:val="26"/>
          <w:szCs w:val="26"/>
        </w:rPr>
        <w:t xml:space="preserve">Detectas riesgos</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Revisas el resultado, no solo confías en que "funcionó". Cuando algo no cuadra —visualmente, numéricamente o legalmente— lo señalas antes de que se convierta en un problema mayor, y exiges que el propio sistema se audite a sí mismo.</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Pipeline RAM: detectaste que las líneas de la cuadrícula del debug se iban corriendo hacia la derecha — un desface de escaneo que el propio proceso de diagnóstico no estaba corrigiendo — y eso llevó a encontrar que el script de diagnóstico se había saltado el deskew que sí existía en producción.</w:t>
      </w:r>
    </w:p>
    <w:p>
      <w:pPr>
        <w:pStyle w:val="ListParagraph"/>
        <w:numPr>
          <w:ilvl w:val="0"/>
          <w:numId w:val="2"/>
        </w:numPr>
        <w:spacing w:after="60"/>
      </w:pPr>
      <w:r>
        <w:rPr>
          <w:rFonts w:ascii="Arial" w:cs="Arial" w:eastAsia="Arial" w:hAnsi="Arial"/>
          <w:color w:val="1a1a1a"/>
          <w:sz w:val="20"/>
          <w:szCs w:val="20"/>
        </w:rPr>
        <w:t xml:space="preserve">Kardex de Col Premium Berries: el requisito de que el sistema muestre una alerta roja cuando una venta o baja no tiene cosecha que la respalde (el caso de las 53 lb fantasma) — no aceptas que el error se descubra tres semanas después comparando Excel a mano.</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Exiges que cualquier sistema que construyes se audite solo: alertas automáticas cuando los números no cuadran, no revisión manual posterior. Y cuando algo se ve raro visualmente (una línea desalineada, un patrón perfecto sospechoso), lo señalas aunque el resultado "parezca" correcto.</w:t>
      </w:r>
    </w:p>
    <w:p>
      <w:pPr>
        <w:pStyle w:val="Heading1"/>
        <w:pBdr>
          <w:bottom w:val="single" w:color="cfcac2" w:sz="6" w:space="4"/>
        </w:pBdr>
        <w:spacing w:after="140" w:before="420"/>
      </w:pPr>
      <w:r>
        <w:rPr>
          <w:rFonts w:ascii="Georgia" w:cs="Georgia" w:eastAsia="Georgia" w:hAnsi="Georgia"/>
          <w:b/>
          <w:bCs/>
          <w:color w:val="8a3324"/>
          <w:sz w:val="26"/>
          <w:szCs w:val="26"/>
        </w:rPr>
        <w:t xml:space="preserve">9. </w:t>
      </w:r>
      <w:r>
        <w:rPr>
          <w:rFonts w:ascii="Georgia" w:cs="Georgia" w:eastAsia="Georgia" w:hAnsi="Georgia"/>
          <w:b/>
          <w:bCs/>
          <w:color w:val="1a1a1a"/>
          <w:sz w:val="26"/>
          <w:szCs w:val="26"/>
        </w:rPr>
        <w:t xml:space="preserve">Decides cuándo NO automatizar</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No conviertes en sistema un proceso que solo se ha ejecutado una vez, y no entras a un negocio nuevo con demasiados riesgos simultáneos sin haber validado demanda primero.</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Consolidación de libros para una sola contadora: se aceptó la lógica de que construir una página web con asistente IA en ese punto era "construir la vitrina antes de tener el producto probado" — se pospuso la automatización de captación hasta tener 2-3 casos documentados.</w:t>
      </w:r>
    </w:p>
    <w:p>
      <w:pPr>
        <w:pStyle w:val="ListParagraph"/>
        <w:numPr>
          <w:ilvl w:val="0"/>
          <w:numId w:val="2"/>
        </w:numPr>
        <w:spacing w:after="60"/>
      </w:pPr>
      <w:r>
        <w:rPr>
          <w:rFonts w:ascii="Arial" w:cs="Arial" w:eastAsia="Arial" w:hAnsi="Arial"/>
          <w:color w:val="1a1a1a"/>
          <w:sz w:val="20"/>
          <w:szCs w:val="20"/>
        </w:rPr>
        <w:t xml:space="preserve">Corte láser: con presupuesto insuficiente para el equipo adecuado, cero clientes identificados y una tecnología que el mercado de Tunja no conoce, la conclusión fue "no es mala idea, es mala idea ahora" — se descartó a favor de negocios con demanda ya probada (photobooth, dispensadores).</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No automatizas ni escalas un proceso hasta que se haya repetido al menos dos o tres veces de forma documentada, y no entras a un mercado nuevo sin al menos un cliente o una demanda verificada por adelantado.</w:t>
      </w:r>
    </w:p>
    <w:p>
      <w:pPr>
        <w:spacing w:after="160"/>
      </w:pPr>
      <w:r>
        <w:rPr>
          <w:rFonts w:ascii="Arial" w:cs="Arial" w:eastAsia="Arial" w:hAnsi="Arial"/>
          <w:b/>
          <w:bCs/>
          <w:color w:val="7a1f1f"/>
          <w:sz w:val="19"/>
          <w:szCs w:val="19"/>
        </w:rPr>
        <w:t xml:space="preserve">Punto ciego: </w:t>
      </w:r>
      <w:r>
        <w:rPr>
          <w:rFonts w:ascii="Arial" w:cs="Arial" w:eastAsia="Arial" w:hAnsi="Arial"/>
          <w:i/>
          <w:iCs/>
          <w:color w:val="1a1a1a"/>
          <w:sz w:val="19"/>
          <w:szCs w:val="19"/>
        </w:rPr>
        <w:t xml:space="preserve">Esta misma regla es la que hoy no se está aplicando a nivel de portafolio: Monitor SECOP está declarado "producto estrella" sin una sola venta confirmada, y la línea de arándano en jarabes está bloqueada por precio de proveedor sin resolver. El patrón que aplicas bien a nivel de una sola función (no automatizar sin repetición) no se está aplicando todavía a nivel de decidir qué frentes cerrar.</w:t>
      </w:r>
    </w:p>
    <w:p>
      <w:pPr>
        <w:pStyle w:val="Heading1"/>
        <w:pBdr>
          <w:bottom w:val="single" w:color="cfcac2" w:sz="6" w:space="4"/>
        </w:pBdr>
        <w:spacing w:after="140" w:before="420"/>
      </w:pPr>
      <w:r>
        <w:rPr>
          <w:rFonts w:ascii="Georgia" w:cs="Georgia" w:eastAsia="Georgia" w:hAnsi="Georgia"/>
          <w:b/>
          <w:bCs/>
          <w:color w:val="8a3324"/>
          <w:sz w:val="26"/>
          <w:szCs w:val="26"/>
        </w:rPr>
        <w:t xml:space="preserve">10. </w:t>
      </w:r>
      <w:r>
        <w:rPr>
          <w:rFonts w:ascii="Georgia" w:cs="Georgia" w:eastAsia="Georgia" w:hAnsi="Georgia"/>
          <w:b/>
          <w:bCs/>
          <w:color w:val="1a1a1a"/>
          <w:sz w:val="26"/>
          <w:szCs w:val="26"/>
        </w:rPr>
        <w:t xml:space="preserve">Decides cuándo necesitas investigar</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Divides con precisión qué dato es tuyo (lo aportas tú, porque nadie más lo tiene) y qué dato es público o de mercado (lo delegas a investigación, porque inventarlo sería un riesgo). No mezclas las dos cosas.</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Precio del CMC para el helado: "busca él precio del cmc en internet" — dato de mercado externo, verificable, se delega sin dudar.</w:t>
      </w:r>
    </w:p>
    <w:p>
      <w:pPr>
        <w:pStyle w:val="ListParagraph"/>
        <w:numPr>
          <w:ilvl w:val="0"/>
          <w:numId w:val="2"/>
        </w:numPr>
        <w:spacing w:after="60"/>
      </w:pPr>
      <w:r>
        <w:rPr>
          <w:rFonts w:ascii="Arial" w:cs="Arial" w:eastAsia="Arial" w:hAnsi="Arial"/>
          <w:color w:val="1a1a1a"/>
          <w:sz w:val="20"/>
          <w:szCs w:val="20"/>
        </w:rPr>
        <w:t xml:space="preserve">Campos del RUP para Monitor SECOP: ante la pregunta de qué datos capturar, la respuesta fue "eso es lo que necesito que investigues" — mientras que los datos internos del negocio (precios pactados con Diana, cantidades reales de la receta, participación societaria) siempre los aportas tú directamente, nunca se investigan.</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Si el dato es público, normativo o de mercado (precio de insumo, campo de un sistema gubernamental, ley aplicable), se investiga antes de construir. Si el dato es interno del negocio (costos reales, acuerdos, cantidades propias), lo defines tú — nunca se asume ni se busca externamente.</w:t>
      </w:r>
    </w:p>
    <w:p>
      <w:pPr>
        <w:pStyle w:val="Heading1"/>
        <w:pBdr>
          <w:bottom w:val="single" w:color="cfcac2" w:sz="6" w:space="4"/>
        </w:pBdr>
        <w:spacing w:after="140" w:before="420"/>
      </w:pPr>
      <w:r>
        <w:rPr>
          <w:rFonts w:ascii="Georgia" w:cs="Georgia" w:eastAsia="Georgia" w:hAnsi="Georgia"/>
          <w:b/>
          <w:bCs/>
          <w:color w:val="8a3324"/>
          <w:sz w:val="26"/>
          <w:szCs w:val="26"/>
        </w:rPr>
        <w:t xml:space="preserve">11. </w:t>
      </w:r>
      <w:r>
        <w:rPr>
          <w:rFonts w:ascii="Georgia" w:cs="Georgia" w:eastAsia="Georgia" w:hAnsi="Georgia"/>
          <w:b/>
          <w:bCs/>
          <w:color w:val="1a1a1a"/>
          <w:sz w:val="26"/>
          <w:szCs w:val="26"/>
        </w:rPr>
        <w:t xml:space="preserve">Decides cuándo un problema puede convertirse en producto</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Un proceso pasa de ser "un trabajo que resolví una vez" a "algo que puedo vender repetidamente" solo cuando cumple tres condiciones a la vez: ya se ejecutó más de una vez, tiene una estructura reutilizable (no un caso ad hoc) y existe una necesidad de terceros verificada — no solo intuida.</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Consolidación de Excel con IA + Power Query: la pregunta que definió si era producto o solo trabajo fue si "cada vez que llegan los libros nuevos tienes que rehacer el proceso desde cero, o ya tienes una estructura reutilizable" — el diagnóstico fue que faltaba la repetición y la estructura, así que todavía no era producto.</w:t>
      </w:r>
    </w:p>
    <w:p>
      <w:pPr>
        <w:pStyle w:val="ListParagraph"/>
        <w:numPr>
          <w:ilvl w:val="0"/>
          <w:numId w:val="2"/>
        </w:numPr>
        <w:spacing w:after="60"/>
      </w:pPr>
      <w:r>
        <w:rPr>
          <w:rFonts w:ascii="Arial" w:cs="Arial" w:eastAsia="Arial" w:hAnsi="Arial"/>
          <w:color w:val="1a1a1a"/>
          <w:sz w:val="20"/>
          <w:szCs w:val="20"/>
        </w:rPr>
        <w:t xml:space="preserve">Monitor SECOP nace exactamente de este cruce: un dolor repetido y verificado ("nadie en Boyacá está ofreciendo automatización de búsqueda de licitaciones en SECOP para pymes") sobre datos públicos ya investigados (API de Datos Abiertos), con una arquitectura pensada para múltiples clientes desde el diseño, no para un solo caso.</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Antes de nombrar algo "producto", verificas las tres condiciones: repetición documentada, estructura reutilizable (no copiar-pegar manual cada vez) y al menos un indicio de demanda de un tercero distinto al primer cliente.</w:t>
      </w:r>
    </w:p>
    <w:p>
      <w:pPr>
        <w:spacing w:after="160"/>
      </w:pPr>
      <w:r>
        <w:rPr>
          <w:rFonts w:ascii="Arial" w:cs="Arial" w:eastAsia="Arial" w:hAnsi="Arial"/>
          <w:b/>
          <w:bCs/>
          <w:color w:val="7a1f1f"/>
          <w:sz w:val="19"/>
          <w:szCs w:val="19"/>
        </w:rPr>
        <w:t xml:space="preserve">Punto ciego: </w:t>
      </w:r>
      <w:r>
        <w:rPr>
          <w:rFonts w:ascii="Arial" w:cs="Arial" w:eastAsia="Arial" w:hAnsi="Arial"/>
          <w:i/>
          <w:iCs/>
          <w:color w:val="1a1a1a"/>
          <w:sz w:val="19"/>
          <w:szCs w:val="19"/>
        </w:rPr>
        <w:t xml:space="preserve">Monitor SECOP cumple el criterio de diseño (arquitectura pensada para escalar) pero no el de demanda verificada — sigue siendo "producto estrella" en el papel sin una venta confirmada. Es la misma regla que aplicas bien en lo pequeño, pendiente de aplicarse en lo grande.</w:t>
      </w:r>
    </w:p>
    <w:p>
      <w:pPr>
        <w:pStyle w:val="Heading1"/>
        <w:pBdr>
          <w:bottom w:val="single" w:color="cfcac2" w:sz="6" w:space="4"/>
        </w:pBdr>
        <w:spacing w:after="140" w:before="420"/>
      </w:pPr>
      <w:r>
        <w:rPr>
          <w:rFonts w:ascii="Georgia" w:cs="Georgia" w:eastAsia="Georgia" w:hAnsi="Georgia"/>
          <w:b/>
          <w:bCs/>
          <w:color w:val="8a3324"/>
          <w:sz w:val="26"/>
          <w:szCs w:val="26"/>
        </w:rPr>
        <w:t xml:space="preserve">12. </w:t>
      </w:r>
      <w:r>
        <w:rPr>
          <w:rFonts w:ascii="Georgia" w:cs="Georgia" w:eastAsia="Georgia" w:hAnsi="Georgia"/>
          <w:b/>
          <w:bCs/>
          <w:color w:val="1a1a1a"/>
          <w:sz w:val="26"/>
          <w:szCs w:val="26"/>
        </w:rPr>
        <w:t xml:space="preserve">Decides cuándo debes intervenir tú personalmente</w:t>
      </w:r>
    </w:p>
    <w:p>
      <w:pPr>
        <w:spacing w:after="60" w:before="160"/>
      </w:pPr>
      <w:r>
        <w:rPr>
          <w:rFonts w:ascii="Arial" w:cs="Arial" w:eastAsia="Arial" w:hAnsi="Arial"/>
          <w:b/>
          <w:bCs/>
          <w:color w:val="8a3324"/>
          <w:sz w:val="18"/>
          <w:szCs w:val="18"/>
        </w:rPr>
        <w:t xml:space="preserve">PATRÓN</w:t>
      </w:r>
    </w:p>
    <w:p>
      <w:pPr>
        <w:spacing w:after="100"/>
      </w:pPr>
      <w:r>
        <w:rPr>
          <w:rFonts w:ascii="Arial" w:cs="Arial" w:eastAsia="Arial" w:hAnsi="Arial"/>
          <w:i w:val="false"/>
          <w:iCs w:val="false"/>
          <w:color w:val="1a1a1a"/>
          <w:sz w:val="21"/>
          <w:szCs w:val="21"/>
        </w:rPr>
        <w:t xml:space="preserve">Te reservas para ti el control comercial, el precio y la conciliación financiera. Delegas la ejecución técnica y operativa de campo a quien tiene el conocimiento específico o la presencia física necesaria.</w:t>
      </w:r>
    </w:p>
    <w:p>
      <w:pPr>
        <w:spacing w:after="60" w:before="160"/>
      </w:pPr>
      <w:r>
        <w:rPr>
          <w:rFonts w:ascii="Arial" w:cs="Arial" w:eastAsia="Arial" w:hAnsi="Arial"/>
          <w:b/>
          <w:bCs/>
          <w:color w:val="8a3324"/>
          <w:sz w:val="18"/>
          <w:szCs w:val="18"/>
        </w:rPr>
        <w:t xml:space="preserve">EVIDENCIA REAL</w:t>
      </w:r>
    </w:p>
    <w:p>
      <w:pPr>
        <w:pStyle w:val="ListParagraph"/>
        <w:numPr>
          <w:ilvl w:val="0"/>
          <w:numId w:val="2"/>
        </w:numPr>
        <w:spacing w:after="60"/>
      </w:pPr>
      <w:r>
        <w:rPr>
          <w:rFonts w:ascii="Arial" w:cs="Arial" w:eastAsia="Arial" w:hAnsi="Arial"/>
          <w:color w:val="1a1a1a"/>
          <w:sz w:val="20"/>
          <w:szCs w:val="20"/>
        </w:rPr>
        <w:t xml:space="preserve">Col Premium Berries: la cosecha se registra exclusivamente por ti; el canal comercial Tunja/Bogotá lo manejas tú directamente con tu propia lista de precios (primera $20.000, jumbo $25.000) distinta a la de Diana ($17.000/$20.000) — mientras la operación de campo la lleva Diana desde Bogotá.</w:t>
      </w:r>
    </w:p>
    <w:p>
      <w:pPr>
        <w:pStyle w:val="ListParagraph"/>
        <w:numPr>
          <w:ilvl w:val="0"/>
          <w:numId w:val="2"/>
        </w:numPr>
        <w:spacing w:after="60"/>
      </w:pPr>
      <w:r>
        <w:rPr>
          <w:rFonts w:ascii="Arial" w:cs="Arial" w:eastAsia="Arial" w:hAnsi="Arial"/>
          <w:color w:val="1a1a1a"/>
          <w:sz w:val="20"/>
          <w:szCs w:val="20"/>
        </w:rPr>
        <w:t xml:space="preserve">Finanzas360 y Al Natural: separaste tus propios egresos entre operativos y viáticos con un criterio explícito (RegistradoPor === 'daniel'), y mantienes el control de la caja y la conciliación financiera de cada frente de forma directa, incluso cuando el sistema que lo automatiza lo construyes con ayuda técnica externa.</w:t>
      </w:r>
    </w:p>
    <w:p>
      <w:pPr>
        <w:pBdr>
          <w:left w:val="single" w:color="8a3324" w:sz="18" w:space="8"/>
        </w:pBdr>
        <w:shd w:fill="F2EFEA" w:val="clear"/>
        <w:spacing w:after="200" w:before="100"/>
        <w:ind w:left="120"/>
      </w:pPr>
      <w:r>
        <w:rPr>
          <w:rFonts w:ascii="Arial" w:cs="Arial" w:eastAsia="Arial" w:hAnsi="Arial"/>
          <w:b/>
          <w:bCs/>
          <w:color w:val="8a3324"/>
          <w:sz w:val="18"/>
          <w:szCs w:val="18"/>
        </w:rPr>
        <w:t xml:space="preserve">REGLA OPERATIVA  ·  </w:t>
      </w:r>
      <w:r>
        <w:rPr>
          <w:rFonts w:ascii="Arial" w:cs="Arial" w:eastAsia="Arial" w:hAnsi="Arial"/>
          <w:color w:val="1a1a1a"/>
          <w:sz w:val="20"/>
          <w:szCs w:val="20"/>
        </w:rPr>
        <w:t xml:space="preserve">Intervienes en persona en: precio, negociación de canal, y conciliación/control de caja. Delegas: ejecución de campo, desarrollo técnico y captura operativa diaria — siempre que exista un sistema que te devuelva el dato consolidado para que tú decidas sobre él.</w:t>
      </w:r>
    </w:p>
    <w:p>
      <w:pPr>
        <w:pStyle w:val="Heading1"/>
        <w:pBdr>
          <w:bottom w:val="single" w:color="cfcac2" w:sz="6" w:space="4"/>
        </w:pBdr>
        <w:spacing w:after="140" w:before="420"/>
      </w:pPr>
      <w:r>
        <w:rPr>
          <w:rFonts w:ascii="Georgia" w:cs="Georgia" w:eastAsia="Georgia" w:hAnsi="Georgia"/>
          <w:b/>
          <w:bCs/>
          <w:color w:val="8a3324"/>
          <w:sz w:val="26"/>
          <w:szCs w:val="26"/>
        </w:rPr>
        <w:t xml:space="preserve">13. </w:t>
      </w:r>
      <w:r>
        <w:rPr>
          <w:rFonts w:ascii="Georgia" w:cs="Georgia" w:eastAsia="Georgia" w:hAnsi="Georgia"/>
          <w:b/>
          <w:bCs/>
          <w:color w:val="1a1a1a"/>
          <w:sz w:val="26"/>
          <w:szCs w:val="26"/>
        </w:rPr>
        <w:t xml:space="preserve">El arquetipo general</w:t>
      </w:r>
    </w:p>
    <w:p>
      <w:pPr>
        <w:spacing w:after="100"/>
      </w:pPr>
      <w:r>
        <w:rPr>
          <w:rFonts w:ascii="Arial" w:cs="Arial" w:eastAsia="Arial" w:hAnsi="Arial"/>
          <w:i w:val="false"/>
          <w:iCs w:val="false"/>
          <w:color w:val="1a1a1a"/>
          <w:sz w:val="21"/>
          <w:szCs w:val="21"/>
        </w:rPr>
        <w:t xml:space="preserve">Tu perfil de decisión no es el de un ejecutor ni el de un estratega puro — es el de un diseñador de procesos que exige evidencia antes de comprometer recursos. El patrón se repite en los doce puntos: no decides sobre impresiones, decides sobre un número, un caso concreto o una repetición ya documentada. Cuando falta ese dato, lo señalas y lo consigues (tú mismo si es interno, por investigación si es externo) antes de avanzar. Es un perfil fuerte para reducir el riesgo de ejecución — construyes poco y mal casi nunca, porque casi nunca construyes sin validar antes.</w:t>
      </w:r>
    </w:p>
    <w:p>
      <w:pPr>
        <w:spacing w:after="100"/>
      </w:pPr>
      <w:r>
        <w:rPr>
          <w:rFonts w:ascii="Arial" w:cs="Arial" w:eastAsia="Arial" w:hAnsi="Arial"/>
          <w:i w:val="false"/>
          <w:iCs w:val="false"/>
          <w:color w:val="1a1a1a"/>
          <w:sz w:val="21"/>
          <w:szCs w:val="21"/>
        </w:rPr>
        <w:t xml:space="preserve">La contraparte de ese mismo perfil es que la exigencia de evidencia se aplica de forma disciplinada dentro de cada frente (Kardex, receta, RAM, comisión Rappi) pero todavía no se aplica con la misma disciplina entre frentes. Ahí es donde vale la pena que el segundo cerebro haga el trabajo que tú no estás haciendo solo por falta de espacio de atención — no por falta de criterio.</w:t>
      </w:r>
    </w:p>
    <w:p>
      <w:pPr>
        <w:pStyle w:val="Heading1"/>
        <w:pBdr>
          <w:bottom w:val="single" w:color="cfcac2" w:sz="6" w:space="4"/>
        </w:pBdr>
        <w:spacing w:after="140" w:before="420"/>
      </w:pPr>
      <w:r>
        <w:rPr>
          <w:rFonts w:ascii="Georgia" w:cs="Georgia" w:eastAsia="Georgia" w:hAnsi="Georgia"/>
          <w:b/>
          <w:bCs/>
          <w:color w:val="8a3324"/>
          <w:sz w:val="26"/>
          <w:szCs w:val="26"/>
        </w:rPr>
        <w:t xml:space="preserve">14. </w:t>
      </w:r>
      <w:r>
        <w:rPr>
          <w:rFonts w:ascii="Georgia" w:cs="Georgia" w:eastAsia="Georgia" w:hAnsi="Georgia"/>
          <w:b/>
          <w:bCs/>
          <w:color w:val="1a1a1a"/>
          <w:sz w:val="26"/>
          <w:szCs w:val="26"/>
        </w:rPr>
        <w:t xml:space="preserve">El punto ciego estructural: exceso de frentes abiertos</w:t>
      </w:r>
    </w:p>
    <w:p>
      <w:pPr>
        <w:spacing w:after="100"/>
      </w:pPr>
      <w:r>
        <w:rPr>
          <w:rFonts w:ascii="Arial" w:cs="Arial" w:eastAsia="Arial" w:hAnsi="Arial"/>
          <w:i w:val="false"/>
          <w:iCs w:val="false"/>
          <w:color w:val="1a1a1a"/>
          <w:sz w:val="21"/>
          <w:szCs w:val="21"/>
        </w:rPr>
        <w:t xml:space="preserve">Este es el hallazgo que se repite en distintas conversaciones y que ya se ha nombrado directamente antes: el problema no es falta de ideas, es exceso de frentes abiertos compitiendo por el mismo recurso limitado — atención y tiempo de recuperación. Automatiza Procesos sin go-to-market ejecutado, la línea de arándano bloqueada por proveedor, La Fábrica de Antojos con pendientes sin resolver, y Monitor SECOP como "producto estrella" sin una sola venta confirmada — cuatro frentes que, evaluados con tus propias reglas operativas (puntos 3, 9 y 11 de este documento), no deberían seguir recibiendo el mismo tiempo que reciben hoy sin pasar antes por una evaluación explícita.</w:t>
      </w:r>
    </w:p>
    <w:p>
      <w:pPr>
        <w:spacing w:after="100"/>
      </w:pPr>
      <w:r>
        <w:rPr>
          <w:rFonts w:ascii="Arial" w:cs="Arial" w:eastAsia="Arial" w:hAnsi="Arial"/>
          <w:i w:val="false"/>
          <w:iCs w:val="false"/>
          <w:color w:val="1a1a1a"/>
          <w:sz w:val="21"/>
          <w:szCs w:val="21"/>
        </w:rPr>
        <w:t xml:space="preserve">El cambio de contexto constante entre café, finca, consultoría y desarrollo de software no entrena flexibilidad — genera fatiga de conmutación, que consume atención sin construir nada nuevo. Esto no es una opinión motivacional: es la razón concreta por la que un segundo cerebro tiene más valor para ti que para alguien con un solo frente — no para generar más ideas, sino para aplicar con disciplina externa las reglas que ya usas bien dentro de cada proyecto, pero que no alcanzas a aplicar entre proyectos.</w:t>
      </w:r>
    </w:p>
    <w:p>
      <w:pPr>
        <w:pStyle w:val="Heading1"/>
        <w:pBdr>
          <w:bottom w:val="single" w:color="cfcac2" w:sz="6" w:space="4"/>
        </w:pBdr>
        <w:spacing w:after="140" w:before="420"/>
      </w:pPr>
      <w:r>
        <w:rPr>
          <w:rFonts w:ascii="Georgia" w:cs="Georgia" w:eastAsia="Georgia" w:hAnsi="Georgia"/>
          <w:b/>
          <w:bCs/>
          <w:color w:val="8a3324"/>
          <w:sz w:val="26"/>
          <w:szCs w:val="26"/>
        </w:rPr>
        <w:t xml:space="preserve">15. </w:t>
      </w:r>
      <w:r>
        <w:rPr>
          <w:rFonts w:ascii="Georgia" w:cs="Georgia" w:eastAsia="Georgia" w:hAnsi="Georgia"/>
          <w:b/>
          <w:bCs/>
          <w:color w:val="1a1a1a"/>
          <w:sz w:val="26"/>
          <w:szCs w:val="26"/>
        </w:rPr>
        <w:t xml:space="preserve">Arquitectura propuesta del Segundo Cerebro</w:t>
      </w:r>
    </w:p>
    <w:p>
      <w:pPr>
        <w:spacing w:after="100"/>
      </w:pPr>
      <w:r>
        <w:rPr>
          <w:rFonts w:ascii="Arial" w:cs="Arial" w:eastAsia="Arial" w:hAnsi="Arial"/>
          <w:i w:val="false"/>
          <w:iCs w:val="false"/>
          <w:color w:val="1a1a1a"/>
          <w:sz w:val="21"/>
          <w:szCs w:val="21"/>
        </w:rPr>
        <w:t xml:space="preserve">No es una herramienta que piense por ti — es un filtro que obliga a cualquier problema nuevo (una idea, una tarea, una solicitud de cliente) a pasar por las mismas doce preguntas que ya usas de forma intuitiva dentro de cada frente, antes de que consuma tiempo o dinero. La estructura natural para ti es una hoja dentro de Finanzas360 o un Apps Script independiente — el mismo stack que ya usas para todo lo demás, sin infraestructura nueva.</w:t>
      </w:r>
    </w:p>
    <w:p>
      <w:pPr>
        <w:spacing w:after="60" w:before="160"/>
      </w:pPr>
      <w:r>
        <w:rPr>
          <w:rFonts w:ascii="Arial" w:cs="Arial" w:eastAsia="Arial" w:hAnsi="Arial"/>
          <w:b/>
          <w:bCs/>
          <w:color w:val="8a3324"/>
          <w:sz w:val="18"/>
          <w:szCs w:val="18"/>
        </w:rPr>
        <w:t xml:space="preserve">FLUJO DE INTAKE PARA CUALQUIER PROBLEMA NUEVO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200"/>
      </w:tblGrid>
      <w:tr>
        <w:tc>
          <w:tcPr>
            <w:tcW w:type="dxa" w:w="2600"/>
            <w:shd w:fill="1a1a1a" w:val="clear"/>
            <w:tcMar>
              <w:top w:type="dxa" w:w="80"/>
              <w:left w:type="dxa" w:w="100"/>
              <w:bottom w:type="dxa" w:w="80"/>
              <w:right w:type="dxa" w:w="100"/>
            </w:tcMar>
          </w:tcPr>
          <w:p>
            <w:r>
              <w:rPr>
                <w:rFonts w:ascii="Arial" w:cs="Arial" w:eastAsia="Arial" w:hAnsi="Arial"/>
                <w:b/>
                <w:bCs/>
                <w:color w:val="FFFFFF"/>
                <w:sz w:val="18"/>
                <w:szCs w:val="18"/>
              </w:rPr>
              <w:t xml:space="preserve">Etapa</w:t>
            </w:r>
          </w:p>
        </w:tc>
        <w:tc>
          <w:tcPr>
            <w:tcW w:type="dxa" w:w="4700"/>
            <w:shd w:fill="1a1a1a" w:val="clear"/>
            <w:tcMar>
              <w:top w:type="dxa" w:w="80"/>
              <w:left w:type="dxa" w:w="100"/>
              <w:bottom w:type="dxa" w:w="80"/>
              <w:right w:type="dxa" w:w="100"/>
            </w:tcMar>
          </w:tcPr>
          <w:p>
            <w:r>
              <w:rPr>
                <w:rFonts w:ascii="Arial" w:cs="Arial" w:eastAsia="Arial" w:hAnsi="Arial"/>
                <w:b/>
                <w:bCs/>
                <w:color w:val="FFFFFF"/>
                <w:sz w:val="18"/>
                <w:szCs w:val="18"/>
              </w:rPr>
              <w:t xml:space="preserve">Pregunta que el sistema exige antes de avanzar</w:t>
            </w:r>
          </w:p>
        </w:tc>
        <w:tc>
          <w:tcPr>
            <w:tcW w:type="dxa" w:w="2200"/>
            <w:shd w:fill="1a1a1a" w:val="clear"/>
            <w:tcMar>
              <w:top w:type="dxa" w:w="80"/>
              <w:left w:type="dxa" w:w="100"/>
              <w:bottom w:type="dxa" w:w="80"/>
              <w:right w:type="dxa" w:w="100"/>
            </w:tcMar>
          </w:tcPr>
          <w:p>
            <w:r>
              <w:rPr>
                <w:rFonts w:ascii="Arial" w:cs="Arial" w:eastAsia="Arial" w:hAnsi="Arial"/>
                <w:b/>
                <w:bCs/>
                <w:color w:val="FFFFFF"/>
                <w:sz w:val="18"/>
                <w:szCs w:val="18"/>
              </w:rPr>
              <w:t xml:space="preserve">Quién responde</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1. Registro</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¿Cuál es el caso concreto con números, no la idea abstracta?</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2. Descomposición</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¿Cuál es el flujo/lógica exacta, separada de la herramienta que lo ejecuta?</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3. Dato faltante</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¿El dato que falta es interno (costo, precio, acuerdo) o público/mercado?</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 / Investigación</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4. Filtro de volumen</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¿Cuántas veces se repite, con qué frecuencia, cuánto cuesta hoy en horas o pesos?</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5. Alternativas</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¿Cuál es el número final (margen, tiempo, riesgo) de cada camino posible?</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Sistema calcula</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6. Prototipo</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¿Es visual o depende de una fuente externa? Si sí, prototipo obligatorio antes de producción.</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 aprueba</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7. Riesgo</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¿Qué alerta automática avisa si el resultado no cuadra, sin revisión manual?</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Sistema</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8. Decisión de escalar</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¿Se repitió 2-3 veces, tiene estructura reutilizable, hay demanda de un tercero verificada?</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w:t>
            </w:r>
          </w:p>
        </w:tc>
      </w:tr>
      <w:tr>
        <w:tc>
          <w:tcPr>
            <w:tcW w:type="dxa" w:w="2600"/>
            <w:tcMar>
              <w:top w:type="dxa" w:w="80"/>
              <w:left w:type="dxa" w:w="100"/>
              <w:bottom w:type="dxa" w:w="80"/>
              <w:right w:type="dxa" w:w="100"/>
            </w:tcMar>
          </w:tcPr>
          <w:p>
            <w:r>
              <w:rPr>
                <w:rFonts w:ascii="Arial" w:cs="Arial" w:eastAsia="Arial" w:hAnsi="Arial"/>
                <w:b w:val="false"/>
                <w:bCs w:val="false"/>
                <w:color w:val="1a1a1a"/>
                <w:sz w:val="18"/>
                <w:szCs w:val="18"/>
              </w:rPr>
              <w:t xml:space="preserve">9. Intervención</w:t>
            </w:r>
          </w:p>
        </w:tc>
        <w:tc>
          <w:tcPr>
            <w:tcW w:type="dxa" w:w="4700"/>
            <w:tcMar>
              <w:top w:type="dxa" w:w="80"/>
              <w:left w:type="dxa" w:w="100"/>
              <w:bottom w:type="dxa" w:w="80"/>
              <w:right w:type="dxa" w:w="100"/>
            </w:tcMar>
          </w:tcPr>
          <w:p>
            <w:r>
              <w:rPr>
                <w:rFonts w:ascii="Arial" w:cs="Arial" w:eastAsia="Arial" w:hAnsi="Arial"/>
                <w:b w:val="false"/>
                <w:bCs w:val="false"/>
                <w:color w:val="1a1a1a"/>
                <w:sz w:val="18"/>
                <w:szCs w:val="18"/>
              </w:rPr>
              <w:t xml:space="preserve">¿Es precio, canal o conciliación financiera? Entonces Daniel. ¿Es ejecución técnica u operativa? Entonces se delega.</w:t>
            </w:r>
          </w:p>
        </w:tc>
        <w:tc>
          <w:tcPr>
            <w:tcW w:type="dxa" w:w="2200"/>
            <w:tcMar>
              <w:top w:type="dxa" w:w="80"/>
              <w:left w:type="dxa" w:w="100"/>
              <w:bottom w:type="dxa" w:w="80"/>
              <w:right w:type="dxa" w:w="100"/>
            </w:tcMar>
          </w:tcPr>
          <w:p>
            <w:r>
              <w:rPr>
                <w:rFonts w:ascii="Arial" w:cs="Arial" w:eastAsia="Arial" w:hAnsi="Arial"/>
                <w:b w:val="false"/>
                <w:bCs w:val="false"/>
                <w:color w:val="1a1a1a"/>
                <w:sz w:val="18"/>
                <w:szCs w:val="18"/>
              </w:rPr>
              <w:t xml:space="preserve">Daniel decide rol</w:t>
            </w:r>
          </w:p>
        </w:tc>
      </w:tr>
    </w:tbl>
    <w:p>
      <w:pPr>
        <w:spacing w:after="60" w:before="260"/>
      </w:pPr>
    </w:p>
    <w:p>
      <w:pPr>
        <w:spacing w:after="60" w:before="160"/>
      </w:pPr>
      <w:r>
        <w:rPr>
          <w:rFonts w:ascii="Arial" w:cs="Arial" w:eastAsia="Arial" w:hAnsi="Arial"/>
          <w:b/>
          <w:bCs/>
          <w:color w:val="8a3324"/>
          <w:sz w:val="18"/>
          <w:szCs w:val="18"/>
        </w:rPr>
        <w:t xml:space="preserve">LO QUE ESTE FILTRO HARÍA HOY, APLICADO A TUS FRENTES ACTUALES</w:t>
      </w:r>
    </w:p>
    <w:p>
      <w:pPr>
        <w:pStyle w:val="ListParagraph"/>
        <w:numPr>
          <w:ilvl w:val="0"/>
          <w:numId w:val="2"/>
        </w:numPr>
        <w:spacing w:after="60"/>
      </w:pPr>
      <w:r>
        <w:rPr>
          <w:rFonts w:ascii="Arial" w:cs="Arial" w:eastAsia="Arial" w:hAnsi="Arial"/>
          <w:color w:val="1a1a1a"/>
          <w:sz w:val="20"/>
          <w:szCs w:val="20"/>
        </w:rPr>
        <w:t xml:space="preserve">Automatiza Procesos: pasa el filtro de volumen (casos reales documentados) pero no el de go-to-market ejecutado — la regla del punto 9 dice esperar a vender antes de perfeccionar, y ya se aceptó esa lógica una vez.</w:t>
      </w:r>
    </w:p>
    <w:p>
      <w:pPr>
        <w:pStyle w:val="ListParagraph"/>
        <w:numPr>
          <w:ilvl w:val="0"/>
          <w:numId w:val="2"/>
        </w:numPr>
        <w:spacing w:after="60"/>
      </w:pPr>
      <w:r>
        <w:rPr>
          <w:rFonts w:ascii="Arial" w:cs="Arial" w:eastAsia="Arial" w:hAnsi="Arial"/>
          <w:color w:val="1a1a1a"/>
          <w:sz w:val="20"/>
          <w:szCs w:val="20"/>
        </w:rPr>
        <w:t xml:space="preserve">Monitor SECOP: pasa el filtro de estructura (arquitectura pensada para escalar) pero no el de demanda verificada — según tu propia regla del punto 11, todavía no debería llamarse "producto estrella".</w:t>
      </w:r>
    </w:p>
    <w:p>
      <w:pPr>
        <w:pStyle w:val="ListParagraph"/>
        <w:numPr>
          <w:ilvl w:val="0"/>
          <w:numId w:val="2"/>
        </w:numPr>
        <w:spacing w:after="60"/>
      </w:pPr>
      <w:r>
        <w:rPr>
          <w:rFonts w:ascii="Arial" w:cs="Arial" w:eastAsia="Arial" w:hAnsi="Arial"/>
          <w:color w:val="1a1a1a"/>
          <w:sz w:val="20"/>
          <w:szCs w:val="20"/>
        </w:rPr>
        <w:t xml:space="preserve">Línea de arándano (jarabes/mermeladas): no pasa el filtro de dato faltante — el precio de proveedor sigue sin resolver, así que el frente está correctamente bloqueado, no abandonado.</w:t>
      </w:r>
    </w:p>
    <w:p>
      <w:pPr>
        <w:pStyle w:val="ListParagraph"/>
        <w:numPr>
          <w:ilvl w:val="0"/>
          <w:numId w:val="2"/>
        </w:numPr>
        <w:spacing w:after="60"/>
      </w:pPr>
      <w:r>
        <w:rPr>
          <w:rFonts w:ascii="Arial" w:cs="Arial" w:eastAsia="Arial" w:hAnsi="Arial"/>
          <w:color w:val="1a1a1a"/>
          <w:sz w:val="20"/>
          <w:szCs w:val="20"/>
        </w:rPr>
        <w:t xml:space="preserve">La Fábrica de Antojos: tiene tres pendientes sin resolver (sistema de intentos, menú fijo, Experimento 01) — según el filtro de prototipo, ninguno debería avanzar a inversión real hasta tener esa validación visual/operativa mínima.</w:t>
      </w:r>
    </w:p>
    <w:p>
      <w:pPr>
        <w:spacing w:before="240"/>
      </w:pPr>
      <w:r>
        <w:rPr>
          <w:rFonts w:ascii="Arial" w:cs="Arial" w:eastAsia="Arial" w:hAnsi="Arial"/>
          <w:color w:val="1a1a1a"/>
          <w:sz w:val="21"/>
          <w:szCs w:val="21"/>
        </w:rPr>
        <w:t xml:space="preserve">Con esto tienes el mapa completo: los doce patrones documentados con evidencia real, el arquetipo que los une, el punto ciego que hoy le cuesta más caro al sistema que a cualquier función individual, y una estructura de filtro que puedes construir en Apps Script sobre la misma base de Finanzas360 sin agregar herramientas nuevas.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2026-08-25T17:53:52.263Z</dcterms:created>
  <dcterms:modified xsi:type="dcterms:W3CDTF">2026-08-25T17:53:52.276Z</dcterms:modified>
</cp:coreProperties>
</file>

<file path=docProps/custom.xml><?xml version="1.0" encoding="utf-8"?>
<Properties xmlns="http://schemas.openxmlformats.org/officeDocument/2006/custom-properties" xmlns:vt="http://schemas.openxmlformats.org/officeDocument/2006/docPropsVTypes"/>
</file>