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36"/>
          <w:szCs w:val="36"/>
          <w:rtl w:val="0"/>
        </w:rPr>
        <w:t xml:space="preserve">CST-341 Design Report</w:t>
      </w:r>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002">
      <w:pPr>
        <w:jc w:val="center"/>
        <w:rPr>
          <w:rFonts w:ascii="Times New Roman" w:cs="Times New Roman" w:eastAsia="Times New Roman" w:hAnsi="Times New Roman"/>
          <w:b w:val="1"/>
          <w:sz w:val="24"/>
          <w:szCs w:val="24"/>
          <w:u w:val="single"/>
        </w:rPr>
      </w:pPr>
      <w:r w:rsidDel="00000000" w:rsidR="00000000" w:rsidRPr="00000000">
        <w:rPr>
          <w:rtl w:val="0"/>
        </w:rPr>
      </w:r>
    </w:p>
    <w:tbl>
      <w:tblPr>
        <w:tblStyle w:val="Table1"/>
        <w:tblW w:w="91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675"/>
        <w:gridCol w:w="6855"/>
        <w:tblGridChange w:id="0">
          <w:tblGrid>
            <w:gridCol w:w="1590"/>
            <w:gridCol w:w="675"/>
            <w:gridCol w:w="6855"/>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Topic:</w:t>
            </w:r>
          </w:p>
        </w:tc>
        <w:tc>
          <w:tcPr>
            <w:gridSpan w:val="2"/>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CST-341-O500 Open Source Computing</w:t>
            </w:r>
            <w:r w:rsidDel="00000000" w:rsidR="00000000" w:rsidRPr="00000000">
              <w:rPr>
                <w:rtl w:val="0"/>
              </w:rPr>
            </w:r>
          </w:p>
        </w:tc>
      </w:tr>
      <w:tr>
        <w:trPr>
          <w:trHeight w:val="48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March 9, 2020</w:t>
            </w:r>
            <w:r w:rsidDel="00000000" w:rsidR="00000000" w:rsidRPr="00000000">
              <w:rPr>
                <w:rtl w:val="0"/>
              </w:rPr>
            </w:r>
          </w:p>
        </w:tc>
      </w:tr>
      <w:tr>
        <w:trPr>
          <w:trHeight w:val="48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Revision: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v0.2.0</w:t>
            </w:r>
            <w:r w:rsidDel="00000000" w:rsidR="00000000" w:rsidRPr="00000000">
              <w:rPr>
                <w:rtl w:val="0"/>
              </w:rPr>
            </w:r>
          </w:p>
        </w:tc>
      </w:tr>
      <w:tr>
        <w:trPr>
          <w:trHeight w:val="48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D">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Branden Manibusan</w:t>
            </w:r>
          </w:p>
          <w:p w:rsidR="00000000" w:rsidDel="00000000" w:rsidP="00000000" w:rsidRDefault="00000000" w:rsidRPr="00000000" w14:paraId="0000000E">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Tyler Rosenberry</w:t>
            </w:r>
          </w:p>
          <w:p w:rsidR="00000000" w:rsidDel="00000000" w:rsidP="00000000" w:rsidRDefault="00000000" w:rsidRPr="00000000" w14:paraId="0000000F">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Daniel Cender</w:t>
            </w:r>
          </w:p>
          <w:p w:rsidR="00000000" w:rsidDel="00000000" w:rsidP="00000000" w:rsidRDefault="00000000" w:rsidRPr="00000000" w14:paraId="00000010">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David Pratt Jr.</w:t>
            </w:r>
          </w:p>
          <w:p w:rsidR="00000000" w:rsidDel="00000000" w:rsidP="00000000" w:rsidRDefault="00000000" w:rsidRPr="00000000" w14:paraId="00000011">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Zachary Swoveland</w:t>
            </w:r>
            <w:r w:rsidDel="00000000" w:rsidR="00000000" w:rsidRPr="00000000">
              <w:rPr>
                <w:rtl w:val="0"/>
              </w:rPr>
            </w:r>
          </w:p>
        </w:tc>
      </w:tr>
      <w:tr>
        <w:trPr>
          <w:trHeight w:val="491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Weekly Team Status Summary:</w:t>
            </w:r>
          </w:p>
        </w:tc>
        <w:tc>
          <w:tcPr>
            <w:gridSpan w:val="2"/>
            <w:tcBorders>
              <w:top w:color="000000" w:space="0" w:sz="0" w:val="nil"/>
              <w:left w:color="000000" w:space="0" w:sz="0" w:val="nil"/>
              <w:bottom w:color="000000" w:space="0" w:sz="8" w:val="single"/>
              <w:right w:color="000000" w:space="0" w:sz="8" w:val="single"/>
            </w:tcBorders>
            <w:shd w:fill="auto" w:val="clear"/>
            <w:tcMar>
              <w:top w:w="120.0" w:type="dxa"/>
              <w:left w:w="120.0" w:type="dxa"/>
              <w:bottom w:w="120.0" w:type="dxa"/>
              <w:right w:w="120.0" w:type="dxa"/>
            </w:tcMar>
            <w:vAlign w:val="top"/>
          </w:tcPr>
          <w:p w:rsidR="00000000" w:rsidDel="00000000" w:rsidP="00000000" w:rsidRDefault="00000000" w:rsidRPr="00000000" w14:paraId="00000014">
            <w:pPr>
              <w:rPr/>
            </w:pPr>
            <w:r w:rsidDel="00000000" w:rsidR="00000000" w:rsidRPr="00000000">
              <w:rPr>
                <w:rtl w:val="0"/>
              </w:rPr>
            </w:r>
          </w:p>
          <w:tbl>
            <w:tblPr>
              <w:tblStyle w:val="Table2"/>
              <w:tblW w:w="71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1845"/>
              <w:gridCol w:w="1605"/>
              <w:gridCol w:w="2715"/>
              <w:tblGridChange w:id="0">
                <w:tblGrid>
                  <w:gridCol w:w="990"/>
                  <w:gridCol w:w="1845"/>
                  <w:gridCol w:w="1605"/>
                  <w:gridCol w:w="2715"/>
                </w:tblGrid>
              </w:tblGridChange>
            </w:tblGrid>
            <w:tr>
              <w:trPr>
                <w:trHeight w:val="55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Story</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w:t>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Member</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Hours</w:t>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Worked</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HoursRemaining</w:t>
                  </w:r>
                </w:p>
              </w:tc>
            </w:tr>
            <w:tr>
              <w:trPr>
                <w:trHeight w:val="28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2,3,4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Daniel Cender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0</w:t>
                  </w:r>
                </w:p>
              </w:tc>
            </w:tr>
            <w:tr>
              <w:trPr>
                <w:trHeight w:val="28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1,2,3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Zachary Swoveland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0</w:t>
                  </w:r>
                </w:p>
              </w:tc>
            </w:tr>
            <w:tr>
              <w:trPr>
                <w:trHeight w:val="28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David Pratt Jr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0</w:t>
                  </w:r>
                </w:p>
              </w:tc>
            </w:tr>
            <w:tr>
              <w:trPr>
                <w:trHeight w:val="28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Branden Manibusan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n/a</w:t>
                  </w:r>
                </w:p>
              </w:tc>
            </w:tr>
            <w:tr>
              <w:trPr>
                <w:trHeight w:val="28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Tyler Rosenberry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n/a</w:t>
                  </w:r>
                </w:p>
              </w:tc>
            </w:tr>
          </w:tbl>
          <w:p w:rsidR="00000000" w:rsidDel="00000000" w:rsidP="00000000" w:rsidRDefault="00000000" w:rsidRPr="00000000" w14:paraId="0000002F">
            <w:pPr>
              <w:rPr/>
            </w:pPr>
            <w:r w:rsidDel="00000000" w:rsidR="00000000" w:rsidRPr="00000000">
              <w:rPr>
                <w:rtl w:val="0"/>
              </w:rPr>
            </w:r>
          </w:p>
        </w:tc>
      </w:tr>
      <w:tr>
        <w:trPr>
          <w:trHeight w:val="75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GIT URL:</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color w:val="1155cc"/>
                  <w:sz w:val="24"/>
                  <w:szCs w:val="24"/>
                  <w:u w:val="single"/>
                  <w:rtl w:val="0"/>
                </w:rPr>
                <w:t xml:space="preserve">https://github.com/DanielCender/CST-341-O500-CLC.git</w:t>
              </w:r>
            </w:hyperlink>
            <w:r w:rsidDel="00000000" w:rsidR="00000000" w:rsidRPr="00000000">
              <w:rPr>
                <w:rtl w:val="0"/>
              </w:rPr>
            </w:r>
          </w:p>
        </w:tc>
      </w:tr>
      <w:tr>
        <w:trPr>
          <w:trHeight w:val="8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Peer Review: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acknowledge that our team has reviewed this report and we agree to the approach we are all taking.</w:t>
            </w:r>
          </w:p>
        </w:tc>
      </w:tr>
    </w:tbl>
    <w:p w:rsidR="00000000" w:rsidDel="00000000" w:rsidP="00000000" w:rsidRDefault="00000000" w:rsidRPr="00000000" w14:paraId="00000037">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38">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Planning Documentation</w:t>
      </w:r>
    </w:p>
    <w:p w:rsidR="00000000" w:rsidDel="00000000" w:rsidP="00000000" w:rsidRDefault="00000000" w:rsidRPr="00000000" w14:paraId="00000039">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3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Agile Scrum Product Backlog:</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link below leads to the overall Backlog column on our group’s GitHub Project, which is tied to managing issues and code pull requests for our CLC project.</w:t>
      </w:r>
    </w:p>
    <w:p w:rsidR="00000000" w:rsidDel="00000000" w:rsidP="00000000" w:rsidRDefault="00000000" w:rsidRPr="00000000" w14:paraId="0000003C">
      <w:pPr>
        <w:rPr>
          <w:rFonts w:ascii="Times New Roman" w:cs="Times New Roman" w:eastAsia="Times New Roman" w:hAnsi="Times New Roman"/>
          <w:b w:val="1"/>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https://github.com/DanielCender/CST-341-O500-CLC/projects/2#column-8179680</w:t>
        </w:r>
      </w:hyperlink>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Agile Scrum Sprint Backlog:</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link below leads to the current sprint backlog column (called “To Do”)  on our group’s GitHub Project.</w:t>
      </w:r>
    </w:p>
    <w:p w:rsidR="00000000" w:rsidDel="00000000" w:rsidP="00000000" w:rsidRDefault="00000000" w:rsidRPr="00000000" w14:paraId="00000040">
      <w:pPr>
        <w:rPr>
          <w:rFonts w:ascii="Times New Roman" w:cs="Times New Roman" w:eastAsia="Times New Roman" w:hAnsi="Times New Roman"/>
          <w:i w:val="1"/>
          <w:color w:val="2e74b5"/>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https://github.com/DanielCender/CST-341-O500-CLC/projects/2#column-8179685</w:t>
        </w:r>
      </w:hyperlink>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Agile Scrum Burn Down Chart:</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below link and embedded image are from our Google Sheets burn down chart:</w:t>
      </w:r>
    </w:p>
    <w:p w:rsidR="00000000" w:rsidDel="00000000" w:rsidP="00000000" w:rsidRDefault="00000000" w:rsidRPr="00000000" w14:paraId="00000044">
      <w:pPr>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https://docs.google.com/spreadsheets/d/1PNOYsftqeVIRJt-AYIHZD1wPgKpHpb5rbvtvKXAohWg/edit?usp=sharing</w:t>
        </w:r>
      </w:hyperlink>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84400"/>
            <wp:effectExtent b="0" l="0" r="0" t="0"/>
            <wp:docPr descr="Chart" id="7" name="image2.png"/>
            <a:graphic>
              <a:graphicData uri="http://schemas.openxmlformats.org/drawingml/2006/picture">
                <pic:pic>
                  <pic:nvPicPr>
                    <pic:cNvPr descr="Chart" id="0" name="image2.png"/>
                    <pic:cNvPicPr preferRelativeResize="0"/>
                  </pic:nvPicPr>
                  <pic:blipFill>
                    <a:blip r:embed="rId10"/>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4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Agile Retrospective Results:</w:t>
      </w:r>
    </w:p>
    <w:p w:rsidR="00000000" w:rsidDel="00000000" w:rsidP="00000000" w:rsidRDefault="00000000" w:rsidRPr="00000000" w14:paraId="00000048">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The following table should be completed after each Retrospective on Things That Went Well (Keep Doing). An alternative to the following table is to use a Mind Mapping tool such as Coggle. If you use a Mind Mapping tool, you must include a URL or Image File.</w:t>
      </w:r>
    </w:p>
    <w:tbl>
      <w:tblPr>
        <w:tblStyle w:val="Table3"/>
        <w:tblW w:w="91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20"/>
        <w:tblGridChange w:id="0">
          <w:tblGrid>
            <w:gridCol w:w="9120"/>
          </w:tblGrid>
        </w:tblGridChange>
      </w:tblGrid>
      <w:tr>
        <w:trPr>
          <w:trHeight w:val="6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What Went Well</w:t>
            </w:r>
          </w:p>
        </w:tc>
      </w:tr>
      <w:tr>
        <w:trPr>
          <w:trHeight w:val="6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sz w:val="24"/>
                <w:szCs w:val="24"/>
                <w:rtl w:val="0"/>
              </w:rPr>
              <w:t xml:space="preserve">Using Discord chat again as a team worked well to foster speedy communication.</w:t>
            </w:r>
          </w:p>
        </w:tc>
      </w:tr>
      <w:tr>
        <w:trPr>
          <w:trHeight w:val="6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sz w:val="24"/>
                <w:szCs w:val="24"/>
                <w:rtl w:val="0"/>
              </w:rPr>
              <w:t xml:space="preserve">Using the Google office suite (Docs and Sheets) helped the group collaborate efficiently, even with limited time to communicate among one another.</w:t>
            </w:r>
          </w:p>
        </w:tc>
      </w:tr>
    </w:tbl>
    <w:p w:rsidR="00000000" w:rsidDel="00000000" w:rsidP="00000000" w:rsidRDefault="00000000" w:rsidRPr="00000000" w14:paraId="0000004C">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 </w:t>
      </w:r>
    </w:p>
    <w:p w:rsidR="00000000" w:rsidDel="00000000" w:rsidP="00000000" w:rsidRDefault="00000000" w:rsidRPr="00000000" w14:paraId="0000004D">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The following table should be completed after each Retrospective on Things That Didn’t Go Well (Stop Doing) and What Would Be Done Differently Next Time with an Action Plan to Improve (Try Doing and Continuous Improvement). An alternative to the following table is to use a Mind Mapping tool such as Coggle. If you use a Mind Mapping tool, you must include a URL or Image File.</w:t>
      </w:r>
    </w:p>
    <w:tbl>
      <w:tblPr>
        <w:tblStyle w:val="Table4"/>
        <w:tblW w:w="91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50"/>
        <w:gridCol w:w="4200"/>
        <w:gridCol w:w="1470"/>
        <w:tblGridChange w:id="0">
          <w:tblGrid>
            <w:gridCol w:w="3450"/>
            <w:gridCol w:w="4200"/>
            <w:gridCol w:w="1470"/>
          </w:tblGrid>
        </w:tblGridChange>
      </w:tblGrid>
      <w:tr>
        <w:trPr>
          <w:trHeight w:val="102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What Did Not Go Well</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Action Plan</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Due Date</w:t>
            </w:r>
          </w:p>
        </w:tc>
      </w:tr>
      <w:tr>
        <w:trPr>
          <w:trHeight w:val="6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sz w:val="24"/>
                <w:szCs w:val="24"/>
                <w:rtl w:val="0"/>
              </w:rPr>
              <w:t xml:space="preserve">Beginning collaboration partway through the milestone week (same as last sprint)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sz w:val="24"/>
                <w:szCs w:val="24"/>
                <w:rtl w:val="0"/>
              </w:rPr>
              <w:t xml:space="preserve">We need to begin designing and delegating tasks/user stories from the first day of the week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sz w:val="24"/>
                <w:szCs w:val="24"/>
                <w:rtl w:val="0"/>
              </w:rPr>
              <w:t xml:space="preserve">March 10, 2020</w:t>
            </w:r>
          </w:p>
        </w:tc>
      </w:tr>
      <w:tr>
        <w:trPr>
          <w:trHeight w:val="6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Lack of planning a Git strategy to segregate individual feature development branches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Brainstorm early in 3rd week for GitHub methodology to stick to. We need a workflow for how we all contribute to features/design.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March 10, 2020</w:t>
            </w:r>
          </w:p>
        </w:tc>
      </w:tr>
    </w:tbl>
    <w:p w:rsidR="00000000" w:rsidDel="00000000" w:rsidP="00000000" w:rsidRDefault="00000000" w:rsidRPr="00000000" w14:paraId="00000057">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Design Documentation</w:t>
      </w:r>
    </w:p>
    <w:p w:rsidR="00000000" w:rsidDel="00000000" w:rsidP="00000000" w:rsidRDefault="00000000" w:rsidRPr="00000000" w14:paraId="00000059">
      <w:pPr>
        <w:rPr>
          <w:rFonts w:ascii="Times New Roman" w:cs="Times New Roman" w:eastAsia="Times New Roman" w:hAnsi="Times New Roman"/>
          <w:i w:val="1"/>
          <w:color w:val="2e74b5"/>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Description:</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our group will build is an online bookstore, similar to a Goodreads (</w:t>
      </w:r>
      <w:hyperlink r:id="rId11">
        <w:r w:rsidDel="00000000" w:rsidR="00000000" w:rsidRPr="00000000">
          <w:rPr>
            <w:rFonts w:ascii="Times New Roman" w:cs="Times New Roman" w:eastAsia="Times New Roman" w:hAnsi="Times New Roman"/>
            <w:color w:val="1155cc"/>
            <w:sz w:val="24"/>
            <w:szCs w:val="24"/>
            <w:u w:val="single"/>
            <w:rtl w:val="0"/>
          </w:rPr>
          <w:t xml:space="preserve">https://www.goodreads.com/</w:t>
        </w:r>
      </w:hyperlink>
      <w:r w:rsidDel="00000000" w:rsidR="00000000" w:rsidRPr="00000000">
        <w:rPr>
          <w:rFonts w:ascii="Times New Roman" w:cs="Times New Roman" w:eastAsia="Times New Roman" w:hAnsi="Times New Roman"/>
          <w:sz w:val="24"/>
          <w:szCs w:val="24"/>
          <w:rtl w:val="0"/>
        </w:rPr>
        <w:t xml:space="preserve">) with added ability of purchasing the books users have selected.</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will include pages for each of these core details/features: home/root, about us, registration, login, profile, book browsing, bookshelf managing, and checkout.</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will sign up for an account using a basic email/password authentication scheme, after which they will be allowed to use the full site’s functionality.</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may browse for books on a dedicated page (/books), then either add a book to a Bookshelf (just a collection of books) or a shopping cart.</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view their profile information and update their personal data, even deleting their account if they’d like.</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create as many Bookshelves for their account as they’d like, then add as many books to each of them as they wish. We’ll have to design our data scheme to account for this kind of scalable nature.</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Books will consist of basic information needed to order the physical material (ISBN code, title, author’s name, publisher and version).</w:t>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Install Instructions:</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installation process and documentation has yet to be decided. We will fill out this portion of our project documentation once all our project dependencies and build settings have been fine tuned.</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application requires a running Microsoft SQL Server instance.</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DDL script should be run on this server to create the “Bookstore” database and tables (Users and Addresses, currently in v.0.2).</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my (Daniel Cender’s) machine, this connection string was used to authenticate the JDBC driver with the instance:</w:t>
      </w:r>
    </w:p>
    <w:p w:rsidR="00000000" w:rsidDel="00000000" w:rsidP="00000000" w:rsidRDefault="00000000" w:rsidRPr="00000000" w14:paraId="0000006B">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String connectionUrl = "jdbc:sqlserver://localhost:1433;databaseName=Bookstore;user=sa;password=Passw0rd1!;";</w:t>
      </w:r>
    </w:p>
    <w:p w:rsidR="00000000" w:rsidDel="00000000" w:rsidP="00000000" w:rsidRDefault="00000000" w:rsidRPr="00000000" w14:paraId="0000006C">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string </w:t>
      </w:r>
      <w:r w:rsidDel="00000000" w:rsidR="00000000" w:rsidRPr="00000000">
        <w:rPr>
          <w:rFonts w:ascii="Times New Roman" w:cs="Times New Roman" w:eastAsia="Times New Roman" w:hAnsi="Times New Roman"/>
          <w:b w:val="1"/>
          <w:sz w:val="24"/>
          <w:szCs w:val="24"/>
          <w:rtl w:val="0"/>
        </w:rPr>
        <w:t xml:space="preserve">can be edited</w:t>
      </w:r>
      <w:r w:rsidDel="00000000" w:rsidR="00000000" w:rsidRPr="00000000">
        <w:rPr>
          <w:rFonts w:ascii="Times New Roman" w:cs="Times New Roman" w:eastAsia="Times New Roman" w:hAnsi="Times New Roman"/>
          <w:sz w:val="24"/>
          <w:szCs w:val="24"/>
          <w:rtl w:val="0"/>
        </w:rPr>
        <w:t xml:space="preserve"> to reflect the local user’s server credentials in the com.gcu.Service.DataAccessObject.java file, line 23.</w:t>
      </w:r>
    </w:p>
    <w:p w:rsidR="00000000" w:rsidDel="00000000" w:rsidP="00000000" w:rsidRDefault="00000000" w:rsidRPr="00000000" w14:paraId="0000006E">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Include step-by-step instructions for setting up your database, configuring, and deploying/installing your application. This section should also include detailed instructions for what configuration files are required by your application, what configuration settings need to be adjusted for various runtime (development or production) environments, and where the files need to be deployed to. This section should also contain detailed instructions for how to clone your application source code from BitBucket and deploy the application to an externally hosted site.</w:t>
      </w:r>
    </w:p>
    <w:p w:rsidR="00000000" w:rsidDel="00000000" w:rsidP="00000000" w:rsidRDefault="00000000" w:rsidRPr="00000000" w14:paraId="0000006F">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 </w:t>
      </w:r>
    </w:p>
    <w:p w:rsidR="00000000" w:rsidDel="00000000" w:rsidP="00000000" w:rsidRDefault="00000000" w:rsidRPr="00000000" w14:paraId="0000007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General Technical Approach:</w:t>
      </w:r>
    </w:p>
    <w:p w:rsidR="00000000" w:rsidDel="00000000" w:rsidP="00000000" w:rsidRDefault="00000000" w:rsidRPr="00000000" w14:paraId="00000071">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sz w:val="24"/>
          <w:szCs w:val="24"/>
          <w:rtl w:val="0"/>
        </w:rPr>
        <w:t xml:space="preserve">This program will be written using Spring MVC and utilizing Java EE as the base language. The Spring MVC framework will provide our visual page elements, styled according to the Bootstrap CSS framework with help from the jQuery JavaScript library. As of now, that is as far as our technical approach has been sorted out.</w:t>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7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Key Technical Design Decisions:</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decided, at this point to design a homepage that links to registration and login pages </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requirements for this project, we are committed to designing our application in a layered architecture to support development purely using the Spring MVC framework.</w:t>
      </w:r>
    </w:p>
    <w:p w:rsidR="00000000" w:rsidDel="00000000" w:rsidP="00000000" w:rsidRDefault="00000000" w:rsidRPr="00000000" w14:paraId="00000076">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Any final technical design decisions, (e.g., framework decisions) should be documented here. List the technology/framework, its purpose in the design, and why it was chosen.</w:t>
      </w:r>
    </w:p>
    <w:p w:rsidR="00000000" w:rsidDel="00000000" w:rsidP="00000000" w:rsidRDefault="00000000" w:rsidRPr="00000000" w14:paraId="00000077">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 </w:t>
      </w:r>
    </w:p>
    <w:p w:rsidR="00000000" w:rsidDel="00000000" w:rsidP="00000000" w:rsidRDefault="00000000" w:rsidRPr="00000000" w14:paraId="0000007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Known Issues:</w:t>
      </w:r>
    </w:p>
    <w:p w:rsidR="00000000" w:rsidDel="00000000" w:rsidP="00000000" w:rsidRDefault="00000000" w:rsidRPr="00000000" w14:paraId="00000079">
      <w:pPr>
        <w:numPr>
          <w:ilvl w:val="0"/>
          <w:numId w:val="2"/>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sz w:val="24"/>
          <w:szCs w:val="24"/>
          <w:rtl w:val="0"/>
        </w:rPr>
        <w:t xml:space="preserve">For an unknown reason, the form validation (using the @Valid annotation in the UserController) is not throwing errors for invalid UserModel property values. As such, if an email is invalid, it will create a record in the Users table with an empty Email column. It follows that since the password field is an empty string too, a user could just enter an empty registration form and then submit an empty login form to sign into the application.</w:t>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Any anomalies or known issues in the code or functionality should be documented here.</w:t>
      </w:r>
    </w:p>
    <w:p w:rsidR="00000000" w:rsidDel="00000000" w:rsidP="00000000" w:rsidRDefault="00000000" w:rsidRPr="00000000" w14:paraId="0000007B">
      <w:pPr>
        <w:rPr>
          <w:rFonts w:ascii="Times New Roman" w:cs="Times New Roman" w:eastAsia="Times New Roman" w:hAnsi="Times New Roman"/>
          <w:i w:val="1"/>
          <w:color w:val="2e74b5"/>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Risks:</w:t>
      </w:r>
    </w:p>
    <w:p w:rsidR="00000000" w:rsidDel="00000000" w:rsidP="00000000" w:rsidRDefault="00000000" w:rsidRPr="00000000" w14:paraId="0000007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At this point, there are no risks, besides the gaping security vulnerability described above.</w:t>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Any risks, unknowns, or general project elements that should be tracked for risk management should be documented here.</w:t>
      </w:r>
    </w:p>
    <w:p w:rsidR="00000000" w:rsidDel="00000000" w:rsidP="00000000" w:rsidRDefault="00000000" w:rsidRPr="00000000" w14:paraId="0000007F">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 </w:t>
      </w:r>
    </w:p>
    <w:p w:rsidR="00000000" w:rsidDel="00000000" w:rsidP="00000000" w:rsidRDefault="00000000" w:rsidRPr="00000000" w14:paraId="0000008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ER Diagram:</w:t>
      </w:r>
    </w:p>
    <w:p w:rsidR="00000000" w:rsidDel="00000000" w:rsidP="00000000" w:rsidRDefault="00000000" w:rsidRPr="00000000" w14:paraId="0000008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diagram below is for the Users table in the Bookstore database:</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09738" cy="1270751"/>
            <wp:effectExtent b="0" l="0" r="0" t="0"/>
            <wp:docPr id="6" name="image3.png"/>
            <a:graphic>
              <a:graphicData uri="http://schemas.openxmlformats.org/drawingml/2006/picture">
                <pic:pic>
                  <pic:nvPicPr>
                    <pic:cNvPr id="0" name="image3.png"/>
                    <pic:cNvPicPr preferRelativeResize="0"/>
                  </pic:nvPicPr>
                  <pic:blipFill>
                    <a:blip r:embed="rId12"/>
                    <a:srcRect b="39601" l="32692" r="55448" t="44729"/>
                    <a:stretch>
                      <a:fillRect/>
                    </a:stretch>
                  </pic:blipFill>
                  <pic:spPr>
                    <a:xfrm>
                      <a:off x="0" y="0"/>
                      <a:ext cx="1709738" cy="1270751"/>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Include an image file of your ER database diagram.</w:t>
      </w:r>
    </w:p>
    <w:p w:rsidR="00000000" w:rsidDel="00000000" w:rsidP="00000000" w:rsidRDefault="00000000" w:rsidRPr="00000000" w14:paraId="00000085">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 </w:t>
      </w:r>
    </w:p>
    <w:p w:rsidR="00000000" w:rsidDel="00000000" w:rsidP="00000000" w:rsidRDefault="00000000" w:rsidRPr="00000000" w14:paraId="0000008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DDL Scripts:</w:t>
      </w:r>
    </w:p>
    <w:p w:rsidR="00000000" w:rsidDel="00000000" w:rsidP="00000000" w:rsidRDefault="00000000" w:rsidRPr="00000000" w14:paraId="00000087">
      <w:pPr>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https://github.com/DanielCender/CST-341-O500-CLC/Milestone2/</w:t>
        </w:r>
      </w:hyperlink>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This should contain a link to Bitbucket from where the DDL script can be downloaded.</w:t>
      </w:r>
    </w:p>
    <w:p w:rsidR="00000000" w:rsidDel="00000000" w:rsidP="00000000" w:rsidRDefault="00000000" w:rsidRPr="00000000" w14:paraId="00000089">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 </w:t>
      </w:r>
    </w:p>
    <w:p w:rsidR="00000000" w:rsidDel="00000000" w:rsidP="00000000" w:rsidRDefault="00000000" w:rsidRPr="00000000" w14:paraId="0000008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Sitemap Diagram:</w:t>
      </w:r>
    </w:p>
    <w:p w:rsidR="00000000" w:rsidDel="00000000" w:rsidP="00000000" w:rsidRDefault="00000000" w:rsidRPr="00000000" w14:paraId="0000008B">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Include an image file of your Sitemap diagram.</w:t>
      </w:r>
    </w:p>
    <w:p w:rsidR="00000000" w:rsidDel="00000000" w:rsidP="00000000" w:rsidRDefault="00000000" w:rsidRPr="00000000" w14:paraId="0000008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8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422400"/>
            <wp:effectExtent b="0" l="0" r="0" t="0"/>
            <wp:docPr id="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8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User Interface Diagrams:</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registration, login, main, and browse pages have been constructed roughly, no final designs have been white-boarded or decided upon quite yet.</w:t>
      </w:r>
    </w:p>
    <w:p w:rsidR="00000000" w:rsidDel="00000000" w:rsidP="00000000" w:rsidRDefault="00000000" w:rsidRPr="00000000" w14:paraId="00000091">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You should insert any wireframe drawings or white board concepts that were developed to support your application. If you have no supporting documentation, please explain the rationale for labeling this section N/A.</w:t>
      </w:r>
    </w:p>
    <w:p w:rsidR="00000000" w:rsidDel="00000000" w:rsidP="00000000" w:rsidRDefault="00000000" w:rsidRPr="00000000" w14:paraId="00000092">
      <w:pPr>
        <w:rPr>
          <w:rFonts w:ascii="Times New Roman" w:cs="Times New Roman" w:eastAsia="Times New Roman" w:hAnsi="Times New Roman"/>
          <w:i w:val="1"/>
          <w:color w:val="2e74b5"/>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 Diagrams:</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33613" cy="1696415"/>
            <wp:effectExtent b="0" l="0" r="0" t="0"/>
            <wp:docPr id="1" name="image5.png"/>
            <a:graphic>
              <a:graphicData uri="http://schemas.openxmlformats.org/drawingml/2006/picture">
                <pic:pic>
                  <pic:nvPicPr>
                    <pic:cNvPr id="0" name="image5.png"/>
                    <pic:cNvPicPr preferRelativeResize="0"/>
                  </pic:nvPicPr>
                  <pic:blipFill>
                    <a:blip r:embed="rId15"/>
                    <a:srcRect b="61253" l="44230" r="43108" t="21652"/>
                    <a:stretch>
                      <a:fillRect/>
                    </a:stretch>
                  </pic:blipFill>
                  <pic:spPr>
                    <a:xfrm>
                      <a:off x="0" y="0"/>
                      <a:ext cx="2233613" cy="169641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52563" cy="1639321"/>
            <wp:effectExtent b="0" l="0" r="0" t="0"/>
            <wp:docPr id="10" name="image8.png"/>
            <a:graphic>
              <a:graphicData uri="http://schemas.openxmlformats.org/drawingml/2006/picture">
                <pic:pic>
                  <pic:nvPicPr>
                    <pic:cNvPr id="0" name="image8.png"/>
                    <pic:cNvPicPr preferRelativeResize="0"/>
                  </pic:nvPicPr>
                  <pic:blipFill>
                    <a:blip r:embed="rId16"/>
                    <a:srcRect b="25356" l="45833" r="42948" t="52136"/>
                    <a:stretch>
                      <a:fillRect/>
                    </a:stretch>
                  </pic:blipFill>
                  <pic:spPr>
                    <a:xfrm>
                      <a:off x="0" y="0"/>
                      <a:ext cx="1452563" cy="163932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34776" cy="1462088"/>
            <wp:effectExtent b="0" l="0" r="0" t="0"/>
            <wp:docPr id="3" name="image6.png"/>
            <a:graphic>
              <a:graphicData uri="http://schemas.openxmlformats.org/drawingml/2006/picture">
                <pic:pic>
                  <pic:nvPicPr>
                    <pic:cNvPr id="0" name="image6.png"/>
                    <pic:cNvPicPr preferRelativeResize="0"/>
                  </pic:nvPicPr>
                  <pic:blipFill>
                    <a:blip r:embed="rId17"/>
                    <a:srcRect b="31054" l="21955" r="67788" t="54415"/>
                    <a:stretch>
                      <a:fillRect/>
                    </a:stretch>
                  </pic:blipFill>
                  <pic:spPr>
                    <a:xfrm>
                      <a:off x="0" y="0"/>
                      <a:ext cx="1834776" cy="1462088"/>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94466" cy="1300163"/>
            <wp:effectExtent b="0" l="0" r="0" t="0"/>
            <wp:docPr id="5" name="image7.png"/>
            <a:graphic>
              <a:graphicData uri="http://schemas.openxmlformats.org/drawingml/2006/picture">
                <pic:pic>
                  <pic:nvPicPr>
                    <pic:cNvPr id="0" name="image7.png"/>
                    <pic:cNvPicPr preferRelativeResize="0"/>
                  </pic:nvPicPr>
                  <pic:blipFill>
                    <a:blip r:embed="rId18"/>
                    <a:srcRect b="31054" l="21474" r="62820" t="53846"/>
                    <a:stretch>
                      <a:fillRect/>
                    </a:stretch>
                  </pic:blipFill>
                  <pic:spPr>
                    <a:xfrm>
                      <a:off x="0" y="0"/>
                      <a:ext cx="2394466" cy="130016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You should insert any class diagrams here. Your class diagrams should be drawn correctly with the three appropriate class compartments, + and – minus to indicate accessibility, and  the data types for the state/properties as well as method arguments and return types. If you have no supporting documentation, please explain the rationale for labeling this section N/A.</w:t>
      </w:r>
    </w:p>
    <w:p w:rsidR="00000000" w:rsidDel="00000000" w:rsidP="00000000" w:rsidRDefault="00000000" w:rsidRPr="00000000" w14:paraId="00000099">
      <w:pPr>
        <w:rPr>
          <w:rFonts w:ascii="Times New Roman" w:cs="Times New Roman" w:eastAsia="Times New Roman" w:hAnsi="Times New Roman"/>
          <w:color w:val="2e74b5"/>
          <w:sz w:val="24"/>
          <w:szCs w:val="24"/>
        </w:rPr>
      </w:pPr>
      <w:r w:rsidDel="00000000" w:rsidR="00000000" w:rsidRPr="00000000">
        <w:rPr>
          <w:rFonts w:ascii="Times New Roman" w:cs="Times New Roman" w:eastAsia="Times New Roman" w:hAnsi="Times New Roman"/>
          <w:color w:val="2e74b5"/>
          <w:sz w:val="24"/>
          <w:szCs w:val="24"/>
          <w:rtl w:val="0"/>
        </w:rPr>
        <w:t xml:space="preserve"> </w:t>
      </w:r>
    </w:p>
    <w:p w:rsidR="00000000" w:rsidDel="00000000" w:rsidP="00000000" w:rsidRDefault="00000000" w:rsidRPr="00000000" w14:paraId="0000009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Service API Design:</w:t>
      </w:r>
    </w:p>
    <w:p w:rsidR="00000000" w:rsidDel="00000000" w:rsidP="00000000" w:rsidRDefault="00000000" w:rsidRPr="00000000" w14:paraId="0000009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No API’s are being consumed at this time.</w:t>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This section should fully document any Third Party Service Interface API’s being consumed or application specific Service API’s being published, how to access the service, what parameters are required by the API, and the detailed JSON data format specification that could be used by a</w:t>
      </w:r>
      <w:r w:rsidDel="00000000" w:rsidR="00000000" w:rsidRPr="00000000">
        <w:rPr>
          <w:rFonts w:ascii="Times New Roman" w:cs="Times New Roman" w:eastAsia="Times New Roman" w:hAnsi="Times New Roman"/>
          <w:i w:val="1"/>
          <w:color w:val="2e74b5"/>
          <w:sz w:val="24"/>
          <w:szCs w:val="24"/>
          <w:vertAlign w:val="superscript"/>
          <w:rtl w:val="0"/>
        </w:rPr>
        <w:t xml:space="preserve"> </w:t>
      </w:r>
      <w:r w:rsidDel="00000000" w:rsidR="00000000" w:rsidRPr="00000000">
        <w:rPr>
          <w:rFonts w:ascii="Times New Roman" w:cs="Times New Roman" w:eastAsia="Times New Roman" w:hAnsi="Times New Roman"/>
          <w:i w:val="1"/>
          <w:color w:val="2e74b5"/>
          <w:sz w:val="24"/>
          <w:szCs w:val="24"/>
          <w:rtl w:val="0"/>
        </w:rPr>
        <w:t xml:space="preserve">third party developer to integrate with the service and API.</w:t>
      </w:r>
    </w:p>
    <w:p w:rsidR="00000000" w:rsidDel="00000000" w:rsidP="00000000" w:rsidRDefault="00000000" w:rsidRPr="00000000" w14:paraId="0000009D">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 </w:t>
      </w:r>
    </w:p>
    <w:p w:rsidR="00000000" w:rsidDel="00000000" w:rsidP="00000000" w:rsidRDefault="00000000" w:rsidRPr="00000000" w14:paraId="0000009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Security Design:</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at this point in the application, includes a login page which allows registered users to login and eventually will be the security behind which all secured pages are protected.</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for the project users will be enforced via a login account scheme. Users will log into our application and have delegated access to their own book selections (“shelves”) and shopping carts (if applicable). </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may be an administration login role which can be applied to “super users,” such as developers or administrators who will require elevated permissions to edit or test the application.</w:t>
      </w:r>
    </w:p>
    <w:p w:rsidR="00000000" w:rsidDel="00000000" w:rsidP="00000000" w:rsidRDefault="00000000" w:rsidRPr="00000000" w14:paraId="000000A2">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This section should outline the design for how authentication and authorization was supported. This section should also contain all of the roles and privileges that are supported by the design.</w:t>
      </w:r>
    </w:p>
    <w:p w:rsidR="00000000" w:rsidDel="00000000" w:rsidP="00000000" w:rsidRDefault="00000000" w:rsidRPr="00000000" w14:paraId="000000A3">
      <w:pPr>
        <w:rPr>
          <w:rFonts w:ascii="Times New Roman" w:cs="Times New Roman" w:eastAsia="Times New Roman" w:hAnsi="Times New Roman"/>
          <w:color w:val="2e74b5"/>
          <w:sz w:val="24"/>
          <w:szCs w:val="24"/>
        </w:rPr>
      </w:pPr>
      <w:r w:rsidDel="00000000" w:rsidR="00000000" w:rsidRPr="00000000">
        <w:rPr>
          <w:rFonts w:ascii="Times New Roman" w:cs="Times New Roman" w:eastAsia="Times New Roman" w:hAnsi="Times New Roman"/>
          <w:color w:val="2e74b5"/>
          <w:sz w:val="24"/>
          <w:szCs w:val="24"/>
          <w:rtl w:val="0"/>
        </w:rPr>
        <w:t xml:space="preserve"> </w:t>
      </w:r>
    </w:p>
    <w:p w:rsidR="00000000" w:rsidDel="00000000" w:rsidP="00000000" w:rsidRDefault="00000000" w:rsidRPr="00000000" w14:paraId="000000A4">
      <w:pPr>
        <w:rPr>
          <w:rFonts w:ascii="Times New Roman" w:cs="Times New Roman" w:eastAsia="Times New Roman" w:hAnsi="Times New Roman"/>
          <w:color w:val="2e74b5"/>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color w:val="2e74b5"/>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color w:val="2e74b5"/>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color w:val="2e74b5"/>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color w:val="2e74b5"/>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color w:val="2e74b5"/>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color w:val="2e74b5"/>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color w:val="2e74b5"/>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color w:val="2e74b5"/>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color w:val="2e74b5"/>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Other Documentation:</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a mapping of potential features that have been brainstormed for a handle of the pages in this application.</w:t>
      </w:r>
    </w:p>
    <w:p w:rsidR="00000000" w:rsidDel="00000000" w:rsidP="00000000" w:rsidRDefault="00000000" w:rsidRPr="00000000" w14:paraId="000000B0">
      <w:pP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276225</wp:posOffset>
            </wp:positionV>
            <wp:extent cx="5943600" cy="3390900"/>
            <wp:effectExtent b="0" l="0" r="0" t="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3390900"/>
                    </a:xfrm>
                    <a:prstGeom prst="rect"/>
                    <a:ln/>
                  </pic:spPr>
                </pic:pic>
              </a:graphicData>
            </a:graphic>
          </wp:anchor>
        </w:drawing>
      </w:r>
    </w:p>
    <w:p w:rsidR="00000000" w:rsidDel="00000000" w:rsidP="00000000" w:rsidRDefault="00000000" w:rsidRPr="00000000" w14:paraId="000000B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a UML of our basic “product” which, for our bookstore, is books:</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180975</wp:posOffset>
            </wp:positionV>
            <wp:extent cx="2283452" cy="2185988"/>
            <wp:effectExtent b="0" l="0" r="0" t="0"/>
            <wp:wrapSquare wrapText="bothSides" distB="114300" distT="114300" distL="114300" distR="114300"/>
            <wp:docPr id="9" name="image4.png"/>
            <a:graphic>
              <a:graphicData uri="http://schemas.openxmlformats.org/drawingml/2006/picture">
                <pic:pic>
                  <pic:nvPicPr>
                    <pic:cNvPr id="0" name="image4.png"/>
                    <pic:cNvPicPr preferRelativeResize="0"/>
                  </pic:nvPicPr>
                  <pic:blipFill>
                    <a:blip r:embed="rId20"/>
                    <a:srcRect b="48717" l="46794" r="41506" t="31339"/>
                    <a:stretch>
                      <a:fillRect/>
                    </a:stretch>
                  </pic:blipFill>
                  <pic:spPr>
                    <a:xfrm>
                      <a:off x="0" y="0"/>
                      <a:ext cx="2283452" cy="2185988"/>
                    </a:xfrm>
                    <a:prstGeom prst="rect"/>
                    <a:ln/>
                  </pic:spPr>
                </pic:pic>
              </a:graphicData>
            </a:graphic>
          </wp:anchor>
        </w:drawing>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UML diagram for a basic Bookshelf class, which users may create for storing books they’d like to purchase or read:</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86113" cy="2050117"/>
            <wp:effectExtent b="0" l="0" r="0" t="0"/>
            <wp:docPr id="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186113" cy="2050117"/>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You should insert any additional drawings, storyboards, white board pictures, project schedules, tasks lists, and so forth that support your approach, design, and project. If you have no supporting documentation, please explain the rationale for labeling this section N/A.</w:t>
      </w:r>
    </w:p>
    <w:p w:rsidR="00000000" w:rsidDel="00000000" w:rsidP="00000000" w:rsidRDefault="00000000" w:rsidRPr="00000000" w14:paraId="000000CF">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hyperlink" Target="https://www.goodreads.com/" TargetMode="External"/><Relationship Id="rId10" Type="http://schemas.openxmlformats.org/officeDocument/2006/relationships/image" Target="media/image2.png"/><Relationship Id="rId21" Type="http://schemas.openxmlformats.org/officeDocument/2006/relationships/image" Target="media/image9.png"/><Relationship Id="rId13" Type="http://schemas.openxmlformats.org/officeDocument/2006/relationships/hyperlink" Target="https://github.com/DanielCender/CST-341-O500-CLC/Milestone2/"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PNOYsftqeVIRJt-AYIHZD1wPgKpHpb5rbvtvKXAohWg/edit?usp=sharing" TargetMode="External"/><Relationship Id="rId15" Type="http://schemas.openxmlformats.org/officeDocument/2006/relationships/image" Target="media/image5.png"/><Relationship Id="rId14" Type="http://schemas.openxmlformats.org/officeDocument/2006/relationships/image" Target="media/image10.png"/><Relationship Id="rId17" Type="http://schemas.openxmlformats.org/officeDocument/2006/relationships/image" Target="media/image6.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hyperlink" Target="https://github.com/DanielCender/CST-341-O500-CLC.git" TargetMode="External"/><Relationship Id="rId18" Type="http://schemas.openxmlformats.org/officeDocument/2006/relationships/image" Target="media/image7.png"/><Relationship Id="rId7" Type="http://schemas.openxmlformats.org/officeDocument/2006/relationships/hyperlink" Target="https://github.com/DanielCender/CST-341-O500-CLC/projects/2#column-8179680" TargetMode="External"/><Relationship Id="rId8" Type="http://schemas.openxmlformats.org/officeDocument/2006/relationships/hyperlink" Target="https://github.com/DanielCender/CST-341-O500-CLC/projects/2#column-817968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