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1784"/>
        <w:gridCol w:w="1134"/>
        <w:gridCol w:w="993"/>
        <w:gridCol w:w="1984"/>
        <w:gridCol w:w="1134"/>
        <w:gridCol w:w="992"/>
        <w:gridCol w:w="706"/>
        <w:gridCol w:w="1169"/>
        <w:gridCol w:w="960"/>
        <w:gridCol w:w="851"/>
        <w:gridCol w:w="709"/>
        <w:gridCol w:w="2091"/>
        <w:tblGridChange w:id="0">
          <w:tblGrid>
            <w:gridCol w:w="591"/>
            <w:gridCol w:w="1784"/>
            <w:gridCol w:w="1134"/>
            <w:gridCol w:w="993"/>
            <w:gridCol w:w="1984"/>
            <w:gridCol w:w="1134"/>
            <w:gridCol w:w="992"/>
            <w:gridCol w:w="706"/>
            <w:gridCol w:w="1169"/>
            <w:gridCol w:w="960"/>
            <w:gridCol w:w="851"/>
            <w:gridCol w:w="709"/>
            <w:gridCol w:w="2091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管理項目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管理方法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風險管理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作業標準/規格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檢查</w:t>
              <w:br w:type="textWrapping"/>
              <w:t xml:space="preserve">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vertAlign w:val="baseline"/>
                <w:rtl w:val="0"/>
              </w:rPr>
              <w:t xml:space="preserve">級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原料進料檢驗</w:t>
              <w:br w:type="textWrapping"/>
              <w:t xml:space="preserve">(樹八廠)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斜坡板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電動側踏板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機構件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5%/每批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尺寸不符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配件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5%/每批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輪椅固定帶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8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73座椅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1件/每批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車輛輪椅區拆除作業(樹八廠)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車輛輪椅區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WP-T05載運輪椅車輛製程作業規範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車輛輪椅區改低切焊作業(活動式坡道) 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車輛輪椅區活動式坡道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WP-T05載運輪椅車輛製程作業規範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3.啟動工程/管理改善措施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車輛輪椅區復原作業(樹八廠)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內裝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12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車輛法規品安裝作業</w:t>
              <w:br w:type="textWrapping"/>
              <w:t xml:space="preserve">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車輛法規品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WP-T05載運輪椅車輛製程作業規範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(車輛安全檢測基準)法規項目品質檢驗(樹八廠)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成品檢驗</w:t>
              <w:br w:type="textWrapping"/>
              <w:t xml:space="preserve">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成品異常客訴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ARTC測試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36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 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初次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WP-T05載運輪椅車輛製程作業規範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DFKai-SB" w:cs="DFKai-SB" w:eastAsia="DFKai-SB" w:hAnsi="DFKai-SB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功能、/法規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初步判定不合格需換發新材料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不合格修正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1.修正符合法規樣式並換發新材料，準備重新測試。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復查</w:t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檢測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復查合格表示換發新材料處置措施OK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政府審查單位(監理站)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WP-T05載運輪椅車輛製程作業規範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功能/法規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1.制定安裝作業SOP 及活動式坡道查檢表</w:t>
            </w:r>
          </w:p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第二排73座椅安裝作業(樹八廠)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第二排73座椅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7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活動式坡道組裝作業(樹八廠)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8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外斜坡板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車身外部安裝作業(樹八廠)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車輛底盤裝置及尾門、後保桿復原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9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車身內裝復原作業(樹八廠)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車身</w:t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內裝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車輛輪椅區改高安裝作業(樹八廠)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B4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客戶</w:t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車輛輪椅區改高安裝作業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WP-T15載運輪椅車輛製程作業規範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外觀/功能/尺寸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1.制定SOP 及檢驗查檢表</w:t>
            </w:r>
          </w:p>
          <w:p w:rsidR="00000000" w:rsidDel="00000000" w:rsidP="00000000" w:rsidRDefault="00000000" w:rsidRPr="00000000" w14:paraId="000001C0">
            <w:pPr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備註：風險管理採取ISO 31010：2009 風險評鑑技術 之4 x 4風險矩陣法鑑別危害。</w:t>
        <w:br w:type="textWrapping"/>
        <w:t xml:space="preserve">      嚴重性後果 (S)：1 ~ 4，越嚴重給分越高；危害發生機率 (P)：1 ~ 4，發生機率越多給分越高。</w:t>
      </w:r>
    </w:p>
    <w:p w:rsidR="00000000" w:rsidDel="00000000" w:rsidP="00000000" w:rsidRDefault="00000000" w:rsidRPr="00000000" w14:paraId="000001C2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製表日期：       製表者：            審核：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品質風險評估標準：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4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9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等級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1D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49.999999999999" w:tblpY="0"/>
        <w:tblW w:w="733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ind w:left="240" w:firstLine="0"/>
              <w:jc w:val="right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1DF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1E3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1E7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1EB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可能性等級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P1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ind w:left="98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嚴重度等級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" w:right="120" w:hanging="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7" w:top="1134" w:left="992" w:right="964" w:header="28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tabs>
        <w:tab w:val="left" w:leader="none" w:pos="8520"/>
      </w:tabs>
      <w:ind w:right="-1"/>
      <w:jc w:val="right"/>
      <w:rPr>
        <w:color w:val="00000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V04. WO-S05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2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載運輪椅車輛(活動式坡道)</w:t>
    </w:r>
  </w:p>
  <w:p w:rsidR="00000000" w:rsidDel="00000000" w:rsidP="00000000" w:rsidRDefault="00000000" w:rsidRPr="00000000" w14:paraId="000002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Table-Wheelchair Accessible Vehicle-RAMP)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