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5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9"/>
        <w:gridCol w:w="1154"/>
        <w:gridCol w:w="1044"/>
        <w:gridCol w:w="928"/>
        <w:gridCol w:w="2215"/>
        <w:gridCol w:w="1134"/>
        <w:gridCol w:w="906"/>
        <w:gridCol w:w="1043"/>
        <w:gridCol w:w="1128"/>
        <w:gridCol w:w="897"/>
        <w:gridCol w:w="658"/>
        <w:gridCol w:w="658"/>
        <w:gridCol w:w="2239"/>
        <w:tblGridChange w:id="0">
          <w:tblGrid>
            <w:gridCol w:w="579"/>
            <w:gridCol w:w="1154"/>
            <w:gridCol w:w="1044"/>
            <w:gridCol w:w="928"/>
            <w:gridCol w:w="2215"/>
            <w:gridCol w:w="1134"/>
            <w:gridCol w:w="906"/>
            <w:gridCol w:w="1043"/>
            <w:gridCol w:w="1128"/>
            <w:gridCol w:w="897"/>
            <w:gridCol w:w="658"/>
            <w:gridCol w:w="658"/>
            <w:gridCol w:w="2239"/>
          </w:tblGrid>
        </w:tblGridChange>
      </w:tblGrid>
      <w:tr>
        <w:trPr>
          <w:cantSplit w:val="0"/>
          <w:trHeight w:val="356" w:hRule="atLeast"/>
          <w:tblHeader w:val="1"/>
        </w:trPr>
        <w:tc>
          <w:tcPr>
            <w:gridSpan w:val="3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工程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管理項目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管理方法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風險管理</w:t>
            </w:r>
          </w:p>
        </w:tc>
      </w:tr>
      <w:tr>
        <w:trPr>
          <w:cantSplit w:val="0"/>
          <w:trHeight w:val="1426" w:hRule="atLeast"/>
          <w:tblHeader w:val="1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名稱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利害關係人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名稱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作業標準/規格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檢查項目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擔當者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頻率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危害鑑別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嚴重性</w:t>
            </w:r>
          </w:p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後果 </w:t>
            </w:r>
            <w:r w:rsidDel="00000000" w:rsidR="00000000" w:rsidRPr="00000000">
              <w:rPr>
                <w:rFonts w:ascii="Script MT Bold" w:cs="Script MT Bold" w:eastAsia="Script MT Bold" w:hAnsi="Script MT Bold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機率</w:t>
            </w:r>
            <w:r w:rsidDel="00000000" w:rsidR="00000000" w:rsidRPr="00000000">
              <w:rPr>
                <w:rFonts w:ascii="Script MT Bold" w:cs="Script MT Bold" w:eastAsia="Script MT Bold" w:hAnsi="Script MT Bold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風險</w:t>
            </w:r>
          </w:p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等級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風險控管</w:t>
            </w:r>
          </w:p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風險等級≧</w:t>
            </w:r>
            <w:r w:rsidDel="00000000" w:rsidR="00000000" w:rsidRPr="00000000">
              <w:rPr>
                <w:rFonts w:ascii="Script MT Bold" w:cs="Script MT Bold" w:eastAsia="Script MT Bold" w:hAnsi="Script MT Bold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級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原料進料檢驗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政府法規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車輛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外觀/功能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品管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外觀不符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功能異常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後製程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沐浴</w:t>
              <w:br w:type="textWrapping"/>
              <w:t xml:space="preserve">設備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外觀/功能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廠務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無法安裝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成品異常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後製程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機構件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外觀/尺寸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品管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尺寸不符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無法安裝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政府法規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配件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外觀/功能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品管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外觀不良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供應商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政府法規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水箱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品管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車輛移動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政府法規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車輛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WP-T07到宅沐浴車輛製程作業規範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交通事故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廠務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政府法規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車輛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WP-T07到宅沐浴車輛製程作業規範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 驗車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廠務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特種車身設備打造作業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政府法規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沐浴車特種車身打造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WP-T07到宅沐浴車輛製程作業規範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外觀/尺寸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廠務</w:t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自主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外觀不良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烤漆委外加工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供應商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烤漆</w:t>
            </w:r>
          </w:p>
          <w:p w:rsidR="00000000" w:rsidDel="00000000" w:rsidP="00000000" w:rsidRDefault="00000000" w:rsidRPr="00000000" w14:paraId="000000D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作業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廠務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外觀不良</w:t>
            </w:r>
          </w:p>
          <w:p w:rsidR="00000000" w:rsidDel="00000000" w:rsidP="00000000" w:rsidRDefault="00000000" w:rsidRPr="00000000" w14:paraId="000000D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退回重工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內裝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政府法規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內裝</w:t>
            </w:r>
          </w:p>
          <w:p w:rsidR="00000000" w:rsidDel="00000000" w:rsidP="00000000" w:rsidRDefault="00000000" w:rsidRPr="00000000" w14:paraId="000000E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作業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  <w:p w:rsidR="00000000" w:rsidDel="00000000" w:rsidP="00000000" w:rsidRDefault="00000000" w:rsidRPr="00000000" w14:paraId="000000E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WP-T07到宅沐浴車輛製程作業規範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外觀/功能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廠務</w:t>
            </w:r>
          </w:p>
          <w:p w:rsidR="00000000" w:rsidDel="00000000" w:rsidP="00000000" w:rsidRDefault="00000000" w:rsidRPr="00000000" w14:paraId="000000E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自主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不符法規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1.制定內裝作業SOP 及檢驗查檢表</w:t>
            </w:r>
          </w:p>
          <w:p w:rsidR="00000000" w:rsidDel="00000000" w:rsidP="00000000" w:rsidRDefault="00000000" w:rsidRPr="00000000" w14:paraId="000000F0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2.落實SOP及檢驗訓練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國產化設備安裝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政府法規</w:t>
            </w:r>
          </w:p>
          <w:p w:rsidR="00000000" w:rsidDel="00000000" w:rsidP="00000000" w:rsidRDefault="00000000" w:rsidRPr="00000000" w14:paraId="000000F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客戶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沐浴設備作業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  <w:p w:rsidR="00000000" w:rsidDel="00000000" w:rsidP="00000000" w:rsidRDefault="00000000" w:rsidRPr="00000000" w14:paraId="000000F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WP-T07到宅沐浴車輛製程作業規範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廠務</w:t>
            </w:r>
          </w:p>
          <w:p w:rsidR="00000000" w:rsidDel="00000000" w:rsidP="00000000" w:rsidRDefault="00000000" w:rsidRPr="00000000" w14:paraId="000000F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自主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沐浴設備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異常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1.制定安裝作業SOP 及到宅沐浴車查檢表</w:t>
            </w:r>
          </w:p>
          <w:p w:rsidR="00000000" w:rsidDel="00000000" w:rsidP="00000000" w:rsidRDefault="00000000" w:rsidRPr="00000000" w14:paraId="00000101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2.落實SOP及檢驗訓練</w:t>
            </w:r>
          </w:p>
        </w:tc>
      </w:tr>
      <w:tr>
        <w:trPr>
          <w:cantSplit w:val="0"/>
          <w:trHeight w:val="7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成品檢驗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政府法規</w:t>
            </w:r>
          </w:p>
          <w:p w:rsidR="00000000" w:rsidDel="00000000" w:rsidP="00000000" w:rsidRDefault="00000000" w:rsidRPr="00000000" w14:paraId="00000105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客戶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檢驗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WC-T01檢驗規範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外觀/功能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品管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成品異常客訴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DFKai-SB" w:cs="DFKai-SB" w:eastAsia="DFKai-SB" w:hAnsi="DFKai-SB"/>
                <w:color w:val="0000c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line="32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備註：風險管理採取ISO 31010：2009 風險評鑑技術 之4 x 4風險矩陣法鑑別危害。</w:t>
      </w:r>
    </w:p>
    <w:p w:rsidR="00000000" w:rsidDel="00000000" w:rsidP="00000000" w:rsidRDefault="00000000" w:rsidRPr="00000000" w14:paraId="00000111">
      <w:pPr>
        <w:rPr>
          <w:rFonts w:ascii="DFKai-SB" w:cs="DFKai-SB" w:eastAsia="DFKai-SB" w:hAnsi="DFKai-SB"/>
          <w:sz w:val="28"/>
          <w:szCs w:val="28"/>
        </w:rPr>
      </w:pPr>
      <w:bookmarkStart w:colFirst="0" w:colLast="0" w:name="_5o6t06ymyu3f" w:id="0"/>
      <w:bookmarkEnd w:id="0"/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 嚴重性後果 (S)：1 ~ 4，越嚴重給分越高；危害發生機率 (P)：1 ~ 4，發生機率越多給分越高。</w:t>
      </w:r>
    </w:p>
    <w:p w:rsidR="00000000" w:rsidDel="00000000" w:rsidP="00000000" w:rsidRDefault="00000000" w:rsidRPr="00000000" w14:paraId="00000112">
      <w:pPr>
        <w:spacing w:line="32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製表日期：                 製表者：                      審核：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品質風險評估標準：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嚴重度：區分為四級，如表一所示。可能性：區分為四級，如表二所示。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表一. 嚴重度之分級基準                                                  表二. 可能性之分級基準</w:t>
      </w:r>
    </w:p>
    <w:tbl>
      <w:tblPr>
        <w:tblStyle w:val="Table2"/>
        <w:tblW w:w="6468.0" w:type="dxa"/>
        <w:jc w:val="left"/>
        <w:tblInd w:w="6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8"/>
        <w:gridCol w:w="842"/>
        <w:gridCol w:w="4908"/>
        <w:tblGridChange w:id="0">
          <w:tblGrid>
            <w:gridCol w:w="718"/>
            <w:gridCol w:w="842"/>
            <w:gridCol w:w="490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6">
            <w:pPr>
              <w:ind w:left="240" w:firstLine="0"/>
              <w:jc w:val="center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等級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判斷依據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ind w:left="98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S4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重大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其品質事件可能造成客戶極度不滿意，並造成組織商譽之重大影響(如產品召回或下架)。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ind w:left="98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S3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高度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其品質事件可能造成客戶嚴重不滿意，並將整批產品退貨。</w:t>
            </w:r>
          </w:p>
        </w:tc>
      </w:tr>
      <w:tr>
        <w:trPr>
          <w:cantSplit w:val="0"/>
          <w:trHeight w:val="9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ind w:left="98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S2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中度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其品質事件可能造成客戶不滿意，其品質事件可能造成客戶將少部分產品退換貨。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ind w:left="98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S1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輕度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ind w:left="31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其品質事件可能造成客戶輕微不滿，但不至於將產品退貨。</w:t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MingLiu" w:cs="PMingLiu" w:eastAsia="PMingLiu" w:hAnsi="PMingLiu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7549.999999999999" w:tblpY="0"/>
        <w:tblW w:w="7331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6"/>
        <w:gridCol w:w="1287"/>
        <w:gridCol w:w="5299"/>
        <w:tblGridChange w:id="0">
          <w:tblGrid>
            <w:gridCol w:w="746"/>
            <w:gridCol w:w="1287"/>
            <w:gridCol w:w="5299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26">
            <w:pPr>
              <w:ind w:left="240" w:firstLine="0"/>
              <w:jc w:val="center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等級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ind w:left="240" w:firstLine="0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發生之可能性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ind w:left="98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P4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極可能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每年10次（含）以上；</w:t>
            </w:r>
          </w:p>
          <w:p w:rsidR="00000000" w:rsidDel="00000000" w:rsidP="00000000" w:rsidRDefault="00000000" w:rsidRPr="00000000" w14:paraId="0000012C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在製程、活動或服務之生命週期內可能會發生10次以上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ind w:left="98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P3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較有可能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每年5-10次；</w:t>
            </w:r>
          </w:p>
          <w:p w:rsidR="00000000" w:rsidDel="00000000" w:rsidP="00000000" w:rsidRDefault="00000000" w:rsidRPr="00000000" w14:paraId="00000130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在製程、活動或服務之生命週期內可能會發生5-10次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ind w:left="98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P2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有可能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每年5次以下；</w:t>
            </w:r>
          </w:p>
          <w:p w:rsidR="00000000" w:rsidDel="00000000" w:rsidP="00000000" w:rsidRDefault="00000000" w:rsidRPr="00000000" w14:paraId="00000134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在製程、活動或服務之生命週期內可能會發生5次以下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ind w:left="98" w:firstLine="0"/>
              <w:jc w:val="both"/>
              <w:rPr>
                <w:rFonts w:ascii="PMingLiu" w:cs="PMingLiu" w:eastAsia="PMingLiu" w:hAnsi="PMingLiu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0"/>
                <w:szCs w:val="20"/>
                <w:rtl w:val="0"/>
              </w:rPr>
              <w:t xml:space="preserve">P1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不太可能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每年低於1次；</w:t>
            </w:r>
          </w:p>
          <w:p w:rsidR="00000000" w:rsidDel="00000000" w:rsidP="00000000" w:rsidRDefault="00000000" w:rsidRPr="00000000" w14:paraId="00000138">
            <w:pPr>
              <w:ind w:left="31" w:firstLine="0"/>
              <w:jc w:val="both"/>
              <w:rPr>
                <w:rFonts w:ascii="PMingLiu" w:cs="PMingLiu" w:eastAsia="PMingLiu" w:hAnsi="PMingLiu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0"/>
                <w:szCs w:val="20"/>
                <w:rtl w:val="0"/>
              </w:rPr>
              <w:t xml:space="preserve">在製程、活動或服務之生命週期內不太會發生</w:t>
            </w:r>
          </w:p>
        </w:tc>
      </w:tr>
    </w:tbl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風險等級：區分為五級，如表三所示，依據嚴重度與可能性等級標準，進行風險等級之分類及風險控制規劃。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" w:right="120" w:hanging="20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表三. 風險等級之分級基準</w:t>
      </w:r>
    </w:p>
    <w:tbl>
      <w:tblPr>
        <w:tblStyle w:val="Table4"/>
        <w:tblW w:w="82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9"/>
        <w:gridCol w:w="1419"/>
        <w:gridCol w:w="1561"/>
        <w:gridCol w:w="1561"/>
        <w:gridCol w:w="1561"/>
        <w:gridCol w:w="1561"/>
        <w:tblGridChange w:id="0">
          <w:tblGrid>
            <w:gridCol w:w="629"/>
            <w:gridCol w:w="1419"/>
            <w:gridCol w:w="1561"/>
            <w:gridCol w:w="1561"/>
            <w:gridCol w:w="1561"/>
            <w:gridCol w:w="1561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3B">
            <w:pPr>
              <w:spacing w:after="40" w:before="40" w:lineRule="auto"/>
              <w:ind w:left="24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D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可能性等級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P1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47">
            <w:pPr>
              <w:spacing w:after="40" w:before="40" w:lineRule="auto"/>
              <w:ind w:left="9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嚴重度等級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S4</w:t>
            </w:r>
          </w:p>
        </w:tc>
        <w:tc>
          <w:tcPr>
            <w:shd w:fill="f05030" w:val="clear"/>
            <w:vAlign w:val="center"/>
          </w:tcPr>
          <w:p w:rsidR="00000000" w:rsidDel="00000000" w:rsidP="00000000" w:rsidRDefault="00000000" w:rsidRPr="00000000" w14:paraId="00000149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14A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14B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4C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S3</w:t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14F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150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51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52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S2</w:t>
            </w:r>
          </w:p>
        </w:tc>
        <w:tc>
          <w:tcPr>
            <w:shd w:fill="e5b8b7" w:val="clear"/>
            <w:vAlign w:val="center"/>
          </w:tcPr>
          <w:p w:rsidR="00000000" w:rsidDel="00000000" w:rsidP="00000000" w:rsidRDefault="00000000" w:rsidRPr="00000000" w14:paraId="00000155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56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57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58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40" w:before="40" w:lineRule="auto"/>
              <w:ind w:left="24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5B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fbd4b4" w:val="clear"/>
            <w:vAlign w:val="center"/>
          </w:tcPr>
          <w:p w:rsidR="00000000" w:rsidDel="00000000" w:rsidP="00000000" w:rsidRDefault="00000000" w:rsidRPr="00000000" w14:paraId="0000015C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5D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15E">
            <w:pPr>
              <w:spacing w:after="40" w:before="40" w:lineRule="auto"/>
              <w:ind w:left="24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" w:right="120" w:hanging="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6" w:w="16838" w:orient="landscape"/>
      <w:pgMar w:bottom="567" w:top="1134" w:left="992" w:right="964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PMingLiu"/>
  <w:font w:name="Times New Roman"/>
  <w:font w:name="Arial"/>
  <w:font w:name="Script MT Bold"/>
  <w:font w:name="華康行書體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tabs>
        <w:tab w:val="left" w:leader="none" w:pos="8520"/>
      </w:tabs>
      <w:ind w:right="0"/>
      <w:jc w:val="right"/>
      <w:rPr>
        <w:color w:val="000000"/>
      </w:rPr>
    </w:pPr>
    <w:r w:rsidDel="00000000" w:rsidR="00000000" w:rsidRPr="00000000">
      <w:rPr>
        <w:sz w:val="20"/>
        <w:szCs w:val="20"/>
        <w:rtl w:val="0"/>
      </w:rPr>
      <w:t xml:space="preserve">2024/03/25 V03. WO-S07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2819400</wp:posOffset>
          </wp:positionH>
          <wp:positionV relativeFrom="paragraph">
            <wp:posOffset>17145</wp:posOffset>
          </wp:positionV>
          <wp:extent cx="457200" cy="393065"/>
          <wp:effectExtent b="0" l="0" r="0" t="0"/>
          <wp:wrapNone/>
          <wp:docPr descr="未命名 - 1" id="1" name="image1.jpg"/>
          <a:graphic>
            <a:graphicData uri="http://schemas.openxmlformats.org/drawingml/2006/picture">
              <pic:pic>
                <pic:nvPicPr>
                  <pic:cNvPr descr="未命名 - 1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7200" cy="39306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風險管理表</w:t>
    </w:r>
  </w:p>
  <w:p w:rsidR="00000000" w:rsidDel="00000000" w:rsidP="00000000" w:rsidRDefault="00000000" w:rsidRPr="00000000" w14:paraId="000001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到宅沐浴車輛</w:t>
    </w:r>
  </w:p>
  <w:p w:rsidR="00000000" w:rsidDel="00000000" w:rsidP="00000000" w:rsidRDefault="00000000" w:rsidRPr="00000000" w14:paraId="000001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華康行書體" w:cs="華康行書體" w:eastAsia="華康行書體" w:hAnsi="華康行書體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(Risk Management Table-Hom Visit Bathing Car)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