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產品識別及追溯管理辦法</w:t>
            </w:r>
          </w:p>
        </w:tc>
      </w:tr>
      <w:tr>
        <w:trPr>
          <w:cantSplit w:val="0"/>
          <w:trHeight w:val="472" w:hRule="atLeast"/>
          <w:tblHeader w:val="0"/>
        </w:trPr>
        <w:tc>
          <w:tcP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管理單位</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發行日期</w:t>
            </w:r>
          </w:p>
        </w:tc>
        <w:tc>
          <w:tcP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制修訂內容</w:t>
            </w:r>
          </w:p>
        </w:tc>
        <w:tc>
          <w:tcP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修訂頁次</w:t>
            </w:r>
          </w:p>
        </w:tc>
        <w:tc>
          <w:tcP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版本</w:t>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2016/12/1</w:t>
            </w:r>
          </w:p>
        </w:tc>
        <w:tc>
          <w:tcP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初版</w:t>
            </w:r>
          </w:p>
        </w:tc>
        <w:tc>
          <w:tcP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ff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2022/7/15</w:t>
            </w:r>
          </w:p>
        </w:tc>
        <w:tc>
          <w:tcP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更新4.6.1、6.2</w:t>
            </w:r>
          </w:p>
        </w:tc>
        <w:tc>
          <w:tcP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pp02</w:t>
            </w:r>
          </w:p>
        </w:tc>
        <w:tc>
          <w:tcP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02</w:t>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   行</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核    准</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    查</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目的：建立物料及各製程中所生產之半成品及成品，均可識別及追溯之程序，以確保產品品質。</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適用範圍：凡材料、半成品及成品的識別與追溯均適用之。</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定義：無。</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進料檢驗之識別：</w:t>
      </w:r>
    </w:p>
    <w:p w:rsidR="00000000" w:rsidDel="00000000" w:rsidP="00000000" w:rsidRDefault="00000000" w:rsidRPr="00000000" w14:paraId="0000004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廠商運交之原物料或加工品之鑑別：</w:t>
      </w:r>
    </w:p>
    <w:p w:rsidR="00000000" w:rsidDel="00000000" w:rsidP="00000000" w:rsidRDefault="00000000" w:rsidRPr="00000000" w14:paraId="0000004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559"/>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採購人員應要求廠商於其運交產品之外箱或外包裝上，貼標籤或以筆書寫上產品之品名、數量及交貨日期。</w:t>
      </w:r>
    </w:p>
    <w:p w:rsidR="00000000" w:rsidDel="00000000" w:rsidP="00000000" w:rsidRDefault="00000000" w:rsidRPr="00000000" w14:paraId="0000005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559"/>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若廠商無法達成要求，則由倉管人員於進料品外箱上進行標示，其中應包含品名、數量、交貨日期…等相關資訊。</w:t>
      </w:r>
    </w:p>
    <w:p w:rsidR="00000000" w:rsidDel="00000000" w:rsidP="00000000" w:rsidRDefault="00000000" w:rsidRPr="00000000" w14:paraId="0000005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廠商入料先交由倉管人員驗收後，需驗品交由品管人員進行檢驗；免驗品交由倉管人員入庫。</w:t>
      </w:r>
    </w:p>
    <w:p w:rsidR="00000000" w:rsidDel="00000000" w:rsidP="00000000" w:rsidRDefault="00000000" w:rsidRPr="00000000" w14:paraId="0000005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進料檢驗之物料經檢驗後，若判定為合格，由倉管人員搬運至庫房相關存放區；若於原物料庫房中，倉管人員需對原物料儲位進行識別標示。若無法對原物料儲位進行標示，則應於產品最大包裝上進行識別。</w:t>
      </w:r>
    </w:p>
    <w:p w:rsidR="00000000" w:rsidDel="00000000" w:rsidP="00000000" w:rsidRDefault="00000000" w:rsidRPr="00000000" w14:paraId="000000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進料檢驗之材料經檢驗後，若判定為不合格，則須運往不合格品區置放，並依「不合格品管理辦法」（QP-T04）處理。</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製程檢驗之識別：</w:t>
      </w:r>
    </w:p>
    <w:p w:rsidR="00000000" w:rsidDel="00000000" w:rsidP="00000000" w:rsidRDefault="00000000" w:rsidRPr="00000000" w14:paraId="000000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在製程中存放待用或待運之半成品或成品，由廠務單位主管判斷是否有可能造成取用時的混淆，如有可能造成混淆，則可指派人員於產品之最大包裝上貼上產品識別標籤。</w:t>
      </w:r>
    </w:p>
    <w:p w:rsidR="00000000" w:rsidDel="00000000" w:rsidP="00000000" w:rsidRDefault="00000000" w:rsidRPr="00000000" w14:paraId="0000005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在製程工作站加工之產品不予標示，合格者直接於製程中使用。</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對於各項檢驗測試狀況之管制，本公司管理方法大致分為場地規劃和標籤標示兩種方式。</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場地規劃：</w:t>
      </w:r>
    </w:p>
    <w:p w:rsidR="00000000" w:rsidDel="00000000" w:rsidP="00000000" w:rsidRDefault="00000000" w:rsidRPr="00000000" w14:paraId="000000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704" w:right="0" w:hanging="740"/>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不合格品區：進料檢驗被判為不合格品拒收之原料，或委外加工和製程檢驗及成品檢驗中被判為不合格品，由相關單位負責處理。</w:t>
      </w:r>
    </w:p>
    <w:p w:rsidR="00000000" w:rsidDel="00000000" w:rsidP="00000000" w:rsidRDefault="00000000" w:rsidRPr="00000000" w14:paraId="0000005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704" w:right="0" w:hanging="740"/>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出貨存放區：經成品檢驗判為合格成品，準備出貨存放之區域。</w:t>
      </w:r>
    </w:p>
    <w:p w:rsidR="00000000" w:rsidDel="00000000" w:rsidP="00000000" w:rsidRDefault="00000000" w:rsidRPr="00000000" w14:paraId="000000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704" w:right="0" w:hanging="740"/>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物料區：經進料檢驗或委外加工檢驗判為合格之存放區域。</w:t>
      </w:r>
    </w:p>
    <w:p w:rsidR="00000000" w:rsidDel="00000000" w:rsidP="00000000" w:rsidRDefault="00000000" w:rsidRPr="00000000" w14:paraId="000000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704" w:right="0" w:hanging="740"/>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作業現場和其他區域：所有正在加工過程之半成品。</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標示：</w:t>
      </w:r>
    </w:p>
    <w:p w:rsidR="00000000" w:rsidDel="00000000" w:rsidP="00000000" w:rsidRDefault="00000000" w:rsidRPr="00000000" w14:paraId="0000005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704" w:right="0" w:hanging="710"/>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存放於原料或半成品之區域，經檢驗完成後，檢驗人員應於判定為不合格的原物料或半成品需放至不良區或待修區，由維修人員進行維修或退回廠商。</w:t>
      </w:r>
    </w:p>
    <w:p w:rsidR="00000000" w:rsidDel="00000000" w:rsidP="00000000" w:rsidRDefault="00000000" w:rsidRPr="00000000" w14:paraId="0000005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704" w:right="0" w:hanging="740"/>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在作業現場存放之半成品，可藉由「自主檢查表」（TB-T05）檢驗紀錄，得知該半成品製程之進度和檢驗狀況，不需標示。</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產品之追溯：</w:t>
      </w:r>
    </w:p>
    <w:p w:rsidR="00000000" w:rsidDel="00000000" w:rsidP="00000000" w:rsidRDefault="00000000" w:rsidRPr="00000000" w14:paraId="0000006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出貨成品有異常時，可透過引擎號碼</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、車身號碼</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及訂單編號追溯到出有關生產、檢驗及委外加工等相關記錄，並由</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「廠內製令」</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可追溯到重要的原物料。</w:t>
      </w:r>
    </w:p>
    <w:p w:rsidR="00000000" w:rsidDel="00000000" w:rsidP="00000000" w:rsidRDefault="00000000" w:rsidRPr="00000000" w14:paraId="0000006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原物料若發生異常須追溯時，可藉其包裝上的批號或序號或製造日期提供給廠商，讓其可以追溯其品質記錄了解不良原因。</w:t>
      </w:r>
    </w:p>
    <w:p w:rsidR="00000000" w:rsidDel="00000000" w:rsidP="00000000" w:rsidRDefault="00000000" w:rsidRPr="00000000" w14:paraId="0000006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若顧客有鑑別與追溯之要求時，本公司應遵照辦理之。</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不合格品管理辦法（QP-T04）</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自主檢查表（TB-T05）</w:t>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廠內製令（資訊系統）</w:t>
      </w:r>
      <w:r w:rsidDel="00000000" w:rsidR="00000000" w:rsidRPr="00000000">
        <w:rPr>
          <w:rtl w:val="0"/>
        </w:rPr>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文件編號</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QP-S08</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總 頁 數</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QP-S08</w:t>
          </w:r>
        </w:p>
      </w:tc>
      <w:tc>
        <w:tcPr>
          <w:gridSpan w:val="3"/>
          <w:tcBorders>
            <w:top w:color="000000" w:space="0" w:sz="0" w:val="nil"/>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產品識別及追溯管理辦法</w:t>
          </w:r>
        </w:p>
      </w:tc>
    </w:tr>
    <w:tr>
      <w:trPr>
        <w:cantSplit w:val="1"/>
        <w:trHeight w:val="360"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w:t>
          </w:r>
        </w:p>
      </w:tc>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2022/7/15</w:t>
          </w:r>
        </w:p>
      </w:tc>
      <w:tc>
        <w:tcPr>
          <w:vAlign w:val="center"/>
        </w:tcPr>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02</w:t>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w:t>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8A">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rFonts w:ascii="Times New Roman" w:cs="Times New Roman" w:eastAsia="Times New Roman" w:hAnsi="Times New Roman"/>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