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jc w:val="both"/>
              <w:rPr>
                <w:sz w:val="36"/>
                <w:szCs w:val="36"/>
                <w:vertAlign w:val="baseline"/>
              </w:rPr>
            </w:pPr>
            <w:r w:rsidDel="00000000" w:rsidR="00000000" w:rsidRPr="00000000">
              <w:rPr>
                <w:rFonts w:ascii="Gungsuh" w:cs="Gungsuh" w:eastAsia="Gungsuh" w:hAnsi="Gungsuh"/>
                <w:sz w:val="36"/>
                <w:szCs w:val="36"/>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jc w:val="center"/>
              <w:rPr>
                <w:sz w:val="36"/>
                <w:szCs w:val="36"/>
                <w:vertAlign w:val="baseline"/>
              </w:rPr>
            </w:pPr>
            <w:r w:rsidDel="00000000" w:rsidR="00000000" w:rsidRPr="00000000">
              <w:rPr>
                <w:rFonts w:ascii="Gungsuh" w:cs="Gungsuh" w:eastAsia="Gungsuh" w:hAnsi="Gungsuh"/>
                <w:sz w:val="36"/>
                <w:szCs w:val="36"/>
                <w:vertAlign w:val="baseline"/>
                <w:rtl w:val="0"/>
              </w:rPr>
              <w:t xml:space="preserve">機會與風險管理辦法</w:t>
            </w:r>
          </w:p>
        </w:tc>
      </w:tr>
      <w:tr>
        <w:trPr>
          <w:cantSplit w:val="0"/>
          <w:trHeight w:val="472" w:hRule="atLeast"/>
          <w:tblHeader w:val="0"/>
        </w:trPr>
        <w:tc>
          <w:tcPr>
            <w:vAlign w:val="top"/>
          </w:tcPr>
          <w:p w:rsidR="00000000" w:rsidDel="00000000" w:rsidP="00000000" w:rsidRDefault="00000000" w:rsidRPr="00000000" w14:paraId="00000004">
            <w:pPr>
              <w:jc w:val="both"/>
              <w:rPr>
                <w:sz w:val="36"/>
                <w:szCs w:val="36"/>
                <w:vertAlign w:val="baseline"/>
              </w:rPr>
            </w:pPr>
            <w:r w:rsidDel="00000000" w:rsidR="00000000" w:rsidRPr="00000000">
              <w:rPr>
                <w:rFonts w:ascii="Gungsuh" w:cs="Gungsuh" w:eastAsia="Gungsuh" w:hAnsi="Gungsuh"/>
                <w:sz w:val="36"/>
                <w:szCs w:val="36"/>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jc w:val="center"/>
              <w:rPr>
                <w:sz w:val="36"/>
                <w:szCs w:val="36"/>
                <w:vertAlign w:val="baseline"/>
              </w:rPr>
            </w:pPr>
            <w:r w:rsidDel="00000000" w:rsidR="00000000" w:rsidRPr="00000000">
              <w:rPr>
                <w:rFonts w:ascii="Gungsuh" w:cs="Gungsuh" w:eastAsia="Gungsuh" w:hAnsi="Gungsuh"/>
                <w:sz w:val="36"/>
                <w:szCs w:val="36"/>
                <w:vertAlign w:val="baseline"/>
                <w:rtl w:val="0"/>
              </w:rPr>
              <w:t xml:space="preserve">管理單位</w:t>
            </w:r>
          </w:p>
        </w:tc>
      </w:tr>
    </w:tbl>
    <w:p w:rsidR="00000000" w:rsidDel="00000000" w:rsidP="00000000" w:rsidRDefault="00000000" w:rsidRPr="00000000" w14:paraId="00000006">
      <w:pPr>
        <w:spacing w:after="120" w:before="120" w:lineRule="auto"/>
        <w:jc w:val="center"/>
        <w:rPr>
          <w:sz w:val="28"/>
          <w:szCs w:val="28"/>
          <w:vertAlign w:val="baseline"/>
        </w:rPr>
      </w:pPr>
      <w:r w:rsidDel="00000000" w:rsidR="00000000" w:rsidRPr="00000000">
        <w:rPr>
          <w:rtl w:val="0"/>
        </w:rPr>
      </w:r>
    </w:p>
    <w:p w:rsidR="00000000" w:rsidDel="00000000" w:rsidP="00000000" w:rsidRDefault="00000000" w:rsidRPr="00000000" w14:paraId="00000007">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pStyle w:val="Heading1"/>
              <w:ind w:left="0" w:firstLine="0"/>
              <w:jc w:val="center"/>
              <w:rPr>
                <w:vertAlign w:val="baseline"/>
              </w:rPr>
            </w:pPr>
            <w:r w:rsidDel="00000000" w:rsidR="00000000" w:rsidRPr="00000000">
              <w:rPr>
                <w:sz w:val="28"/>
                <w:szCs w:val="28"/>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發行日期</w:t>
            </w:r>
          </w:p>
        </w:tc>
        <w:tc>
          <w:tcPr>
            <w:vAlign w:val="top"/>
          </w:tcPr>
          <w:p w:rsidR="00000000" w:rsidDel="00000000" w:rsidP="00000000" w:rsidRDefault="00000000" w:rsidRPr="00000000" w14:paraId="0000000A">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制修訂內容</w:t>
            </w:r>
          </w:p>
        </w:tc>
        <w:tc>
          <w:tcPr>
            <w:vAlign w:val="top"/>
          </w:tcPr>
          <w:p w:rsidR="00000000" w:rsidDel="00000000" w:rsidP="00000000" w:rsidRDefault="00000000" w:rsidRPr="00000000" w14:paraId="0000000B">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修訂頁次</w:t>
            </w:r>
          </w:p>
        </w:tc>
        <w:tc>
          <w:tcPr>
            <w:vAlign w:val="top"/>
          </w:tcPr>
          <w:p w:rsidR="00000000" w:rsidDel="00000000" w:rsidP="00000000" w:rsidRDefault="00000000" w:rsidRPr="00000000" w14:paraId="0000000C">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版本</w:t>
            </w:r>
          </w:p>
        </w:tc>
      </w:tr>
      <w:tr>
        <w:trPr>
          <w:cantSplit w:val="0"/>
          <w:tblHeader w:val="0"/>
        </w:trPr>
        <w:tc>
          <w:tcPr>
            <w:vAlign w:val="top"/>
          </w:tcPr>
          <w:p w:rsidR="00000000" w:rsidDel="00000000" w:rsidP="00000000" w:rsidRDefault="00000000" w:rsidRPr="00000000" w14:paraId="0000000D">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0E">
            <w:pPr>
              <w:spacing w:after="120" w:before="120" w:lineRule="auto"/>
              <w:jc w:val="center"/>
              <w:rPr>
                <w:sz w:val="28"/>
                <w:szCs w:val="28"/>
                <w:vertAlign w:val="baseline"/>
              </w:rPr>
            </w:pPr>
            <w:r w:rsidDel="00000000" w:rsidR="00000000" w:rsidRPr="00000000">
              <w:rPr>
                <w:sz w:val="28"/>
                <w:szCs w:val="28"/>
                <w:vertAlign w:val="baseline"/>
                <w:rtl w:val="0"/>
              </w:rPr>
              <w:t xml:space="preserve">2022/07/15</w:t>
            </w:r>
          </w:p>
        </w:tc>
        <w:tc>
          <w:tcPr>
            <w:vAlign w:val="top"/>
          </w:tcPr>
          <w:p w:rsidR="00000000" w:rsidDel="00000000" w:rsidP="00000000" w:rsidRDefault="00000000" w:rsidRPr="00000000" w14:paraId="0000000F">
            <w:pPr>
              <w:spacing w:after="120" w:before="120" w:lineRule="auto"/>
              <w:rPr>
                <w:sz w:val="28"/>
                <w:szCs w:val="28"/>
                <w:vertAlign w:val="baseline"/>
              </w:rPr>
            </w:pPr>
            <w:r w:rsidDel="00000000" w:rsidR="00000000" w:rsidRPr="00000000">
              <w:rPr>
                <w:rFonts w:ascii="Gungsuh" w:cs="Gungsuh" w:eastAsia="Gungsuh" w:hAnsi="Gungsuh"/>
                <w:sz w:val="28"/>
                <w:szCs w:val="28"/>
                <w:vertAlign w:val="baseline"/>
                <w:rtl w:val="0"/>
              </w:rPr>
              <w:t xml:space="preserve">初版</w:t>
            </w:r>
          </w:p>
        </w:tc>
        <w:tc>
          <w:tcPr>
            <w:vAlign w:val="top"/>
          </w:tcPr>
          <w:p w:rsidR="00000000" w:rsidDel="00000000" w:rsidP="00000000" w:rsidRDefault="00000000" w:rsidRPr="00000000" w14:paraId="00000010">
            <w:pPr>
              <w:spacing w:after="120" w:before="120" w:lineRule="auto"/>
              <w:jc w:val="center"/>
              <w:rPr>
                <w:sz w:val="28"/>
                <w:szCs w:val="28"/>
                <w:vertAlign w:val="baseline"/>
              </w:rPr>
            </w:pPr>
            <w:r w:rsidDel="00000000" w:rsidR="00000000" w:rsidRPr="00000000">
              <w:rPr>
                <w:sz w:val="28"/>
                <w:szCs w:val="28"/>
                <w:vertAlign w:val="baseline"/>
                <w:rtl w:val="0"/>
              </w:rPr>
              <w:t xml:space="preserve">-----</w:t>
            </w:r>
          </w:p>
        </w:tc>
        <w:tc>
          <w:tcPr>
            <w:vAlign w:val="top"/>
          </w:tcPr>
          <w:p w:rsidR="00000000" w:rsidDel="00000000" w:rsidP="00000000" w:rsidRDefault="00000000" w:rsidRPr="00000000" w14:paraId="00000011">
            <w:pPr>
              <w:spacing w:after="120" w:before="120" w:lineRule="auto"/>
              <w:ind w:firstLine="280"/>
              <w:rPr>
                <w:sz w:val="28"/>
                <w:szCs w:val="28"/>
                <w:vertAlign w:val="baseline"/>
              </w:rPr>
            </w:pPr>
            <w:r w:rsidDel="00000000" w:rsidR="00000000" w:rsidRPr="00000000">
              <w:rPr>
                <w:sz w:val="28"/>
                <w:szCs w:val="28"/>
                <w:vertAlign w:val="baseline"/>
                <w:rtl w:val="0"/>
              </w:rPr>
              <w:t xml:space="preserve">01</w:t>
            </w:r>
          </w:p>
        </w:tc>
      </w:tr>
      <w:tr>
        <w:trPr>
          <w:cantSplit w:val="0"/>
          <w:tblHeader w:val="0"/>
        </w:trPr>
        <w:tc>
          <w:tcPr>
            <w:vAlign w:val="top"/>
          </w:tcPr>
          <w:p w:rsidR="00000000" w:rsidDel="00000000" w:rsidP="00000000" w:rsidRDefault="00000000" w:rsidRPr="00000000" w14:paraId="00000012">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13">
            <w:pPr>
              <w:spacing w:after="120" w:before="120" w:lineRule="auto"/>
              <w:jc w:val="center"/>
              <w:rPr>
                <w:sz w:val="28"/>
                <w:szCs w:val="28"/>
                <w:vertAlign w:val="baseline"/>
              </w:rPr>
            </w:pPr>
            <w:r w:rsidDel="00000000" w:rsidR="00000000" w:rsidRPr="00000000">
              <w:rPr>
                <w:sz w:val="28"/>
                <w:szCs w:val="28"/>
                <w:vertAlign w:val="baseline"/>
                <w:rtl w:val="0"/>
              </w:rPr>
              <w:t xml:space="preserve">2023/10/25</w:t>
            </w:r>
          </w:p>
        </w:tc>
        <w:tc>
          <w:tcPr>
            <w:vAlign w:val="top"/>
          </w:tcPr>
          <w:p w:rsidR="00000000" w:rsidDel="00000000" w:rsidP="00000000" w:rsidRDefault="00000000" w:rsidRPr="00000000" w14:paraId="00000014">
            <w:pPr>
              <w:spacing w:after="120" w:before="120" w:lineRule="auto"/>
              <w:rPr>
                <w:sz w:val="28"/>
                <w:szCs w:val="28"/>
                <w:vertAlign w:val="baseline"/>
              </w:rPr>
            </w:pPr>
            <w:r w:rsidDel="00000000" w:rsidR="00000000" w:rsidRPr="00000000">
              <w:rPr>
                <w:rFonts w:ascii="Gungsuh" w:cs="Gungsuh" w:eastAsia="Gungsuh" w:hAnsi="Gungsuh"/>
                <w:sz w:val="28"/>
                <w:szCs w:val="28"/>
                <w:vertAlign w:val="baseline"/>
                <w:rtl w:val="0"/>
              </w:rPr>
              <w:t xml:space="preserve">更新5.8、新增6.4</w:t>
            </w:r>
          </w:p>
        </w:tc>
        <w:tc>
          <w:tcPr>
            <w:vAlign w:val="top"/>
          </w:tcPr>
          <w:p w:rsidR="00000000" w:rsidDel="00000000" w:rsidP="00000000" w:rsidRDefault="00000000" w:rsidRPr="00000000" w14:paraId="00000015">
            <w:pPr>
              <w:spacing w:after="120" w:before="120" w:lineRule="auto"/>
              <w:rPr>
                <w:sz w:val="28"/>
                <w:szCs w:val="28"/>
                <w:vertAlign w:val="baseline"/>
              </w:rPr>
            </w:pPr>
            <w:r w:rsidDel="00000000" w:rsidR="00000000" w:rsidRPr="00000000">
              <w:rPr>
                <w:sz w:val="28"/>
                <w:szCs w:val="28"/>
                <w:vertAlign w:val="baseline"/>
                <w:rtl w:val="0"/>
              </w:rPr>
              <w:t xml:space="preserve">pp02-03</w:t>
            </w:r>
          </w:p>
        </w:tc>
        <w:tc>
          <w:tcPr>
            <w:vAlign w:val="top"/>
          </w:tcPr>
          <w:p w:rsidR="00000000" w:rsidDel="00000000" w:rsidP="00000000" w:rsidRDefault="00000000" w:rsidRPr="00000000" w14:paraId="00000016">
            <w:pPr>
              <w:spacing w:after="120" w:before="120" w:lineRule="auto"/>
              <w:ind w:firstLine="280"/>
              <w:rPr>
                <w:sz w:val="28"/>
                <w:szCs w:val="28"/>
                <w:vertAlign w:val="baseline"/>
              </w:rPr>
            </w:pPr>
            <w:r w:rsidDel="00000000" w:rsidR="00000000" w:rsidRPr="00000000">
              <w:rPr>
                <w:sz w:val="28"/>
                <w:szCs w:val="28"/>
                <w:vertAlign w:val="baseline"/>
                <w:rtl w:val="0"/>
              </w:rPr>
              <w:t xml:space="preserve">02</w:t>
            </w:r>
          </w:p>
        </w:tc>
      </w:tr>
      <w:tr>
        <w:trPr>
          <w:cantSplit w:val="0"/>
          <w:tblHeader w:val="0"/>
        </w:trPr>
        <w:tc>
          <w:tcPr>
            <w:vAlign w:val="top"/>
          </w:tcPr>
          <w:p w:rsidR="00000000" w:rsidDel="00000000" w:rsidP="00000000" w:rsidRDefault="00000000" w:rsidRPr="00000000" w14:paraId="00000017">
            <w:pPr>
              <w:numPr>
                <w:ilvl w:val="0"/>
                <w:numId w:val="1"/>
              </w:numPr>
              <w:spacing w:after="120" w:before="120" w:lineRule="auto"/>
              <w:ind w:left="480" w:hanging="480"/>
              <w:jc w:val="center"/>
              <w:rPr>
                <w:color w:val="ff0000"/>
                <w:sz w:val="28"/>
                <w:szCs w:val="28"/>
              </w:rPr>
            </w:pPr>
            <w:r w:rsidDel="00000000" w:rsidR="00000000" w:rsidRPr="00000000">
              <w:rPr>
                <w:rtl w:val="0"/>
              </w:rPr>
            </w:r>
          </w:p>
        </w:tc>
        <w:tc>
          <w:tcPr>
            <w:vAlign w:val="top"/>
          </w:tcPr>
          <w:p w:rsidR="00000000" w:rsidDel="00000000" w:rsidP="00000000" w:rsidRDefault="00000000" w:rsidRPr="00000000" w14:paraId="00000018">
            <w:pPr>
              <w:spacing w:after="120" w:before="120" w:lineRule="auto"/>
              <w:rPr>
                <w:color w:val="ff0000"/>
                <w:sz w:val="28"/>
                <w:szCs w:val="28"/>
                <w:vertAlign w:val="baseline"/>
              </w:rPr>
            </w:pPr>
            <w:r w:rsidDel="00000000" w:rsidR="00000000" w:rsidRPr="00000000">
              <w:rPr>
                <w:color w:val="ff0000"/>
                <w:sz w:val="28"/>
                <w:szCs w:val="28"/>
                <w:vertAlign w:val="baseline"/>
                <w:rtl w:val="0"/>
              </w:rPr>
              <w:t xml:space="preserve">2024/03/25</w:t>
            </w:r>
          </w:p>
        </w:tc>
        <w:tc>
          <w:tcPr>
            <w:vAlign w:val="top"/>
          </w:tcPr>
          <w:p w:rsidR="00000000" w:rsidDel="00000000" w:rsidP="00000000" w:rsidRDefault="00000000" w:rsidRPr="00000000" w14:paraId="00000019">
            <w:pPr>
              <w:spacing w:after="120" w:before="120" w:lineRule="auto"/>
              <w:rPr>
                <w:color w:val="ff0000"/>
                <w:sz w:val="28"/>
                <w:szCs w:val="28"/>
                <w:vertAlign w:val="baseline"/>
              </w:rPr>
            </w:pPr>
            <w:r w:rsidDel="00000000" w:rsidR="00000000" w:rsidRPr="00000000">
              <w:rPr>
                <w:rFonts w:ascii="Gungsuh" w:cs="Gungsuh" w:eastAsia="Gungsuh" w:hAnsi="Gungsuh"/>
                <w:color w:val="ff0000"/>
                <w:sz w:val="28"/>
                <w:szCs w:val="28"/>
                <w:vertAlign w:val="baseline"/>
                <w:rtl w:val="0"/>
              </w:rPr>
              <w:t xml:space="preserve">更新5.8、新增6.5</w:t>
            </w:r>
          </w:p>
        </w:tc>
        <w:tc>
          <w:tcPr>
            <w:vAlign w:val="top"/>
          </w:tcPr>
          <w:p w:rsidR="00000000" w:rsidDel="00000000" w:rsidP="00000000" w:rsidRDefault="00000000" w:rsidRPr="00000000" w14:paraId="0000001A">
            <w:pPr>
              <w:spacing w:after="120" w:before="120" w:lineRule="auto"/>
              <w:rPr>
                <w:color w:val="ff0000"/>
                <w:sz w:val="28"/>
                <w:szCs w:val="28"/>
                <w:vertAlign w:val="baseline"/>
              </w:rPr>
            </w:pPr>
            <w:r w:rsidDel="00000000" w:rsidR="00000000" w:rsidRPr="00000000">
              <w:rPr>
                <w:color w:val="ff0000"/>
                <w:sz w:val="28"/>
                <w:szCs w:val="28"/>
                <w:vertAlign w:val="baseline"/>
                <w:rtl w:val="0"/>
              </w:rPr>
              <w:t xml:space="preserve">pp02-03</w:t>
            </w:r>
          </w:p>
        </w:tc>
        <w:tc>
          <w:tcPr>
            <w:vAlign w:val="top"/>
          </w:tcPr>
          <w:p w:rsidR="00000000" w:rsidDel="00000000" w:rsidP="00000000" w:rsidRDefault="00000000" w:rsidRPr="00000000" w14:paraId="0000001B">
            <w:pPr>
              <w:spacing w:after="120" w:before="120" w:lineRule="auto"/>
              <w:jc w:val="center"/>
              <w:rPr>
                <w:color w:val="ff0000"/>
                <w:sz w:val="28"/>
                <w:szCs w:val="28"/>
                <w:vertAlign w:val="baseline"/>
              </w:rPr>
            </w:pPr>
            <w:r w:rsidDel="00000000" w:rsidR="00000000" w:rsidRPr="00000000">
              <w:rPr>
                <w:color w:val="ff0000"/>
                <w:sz w:val="28"/>
                <w:szCs w:val="28"/>
                <w:vertAlign w:val="baseline"/>
                <w:rtl w:val="0"/>
              </w:rPr>
              <w:t xml:space="preserve">03</w:t>
            </w:r>
          </w:p>
        </w:tc>
      </w:tr>
      <w:tr>
        <w:trPr>
          <w:cantSplit w:val="0"/>
          <w:tblHeader w:val="0"/>
        </w:trPr>
        <w:tc>
          <w:tcPr>
            <w:vAlign w:val="top"/>
          </w:tcPr>
          <w:p w:rsidR="00000000" w:rsidDel="00000000" w:rsidP="00000000" w:rsidRDefault="00000000" w:rsidRPr="00000000" w14:paraId="0000001C">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1D">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1E">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1F">
            <w:pPr>
              <w:spacing w:after="120" w:before="120" w:lineRule="auto"/>
              <w:ind w:firstLine="280"/>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0">
            <w:pPr>
              <w:spacing w:after="120" w:before="120" w:lineRule="auto"/>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22">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3">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4">
            <w:pPr>
              <w:spacing w:after="120" w:before="120" w:lineRule="auto"/>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5">
            <w:pPr>
              <w:spacing w:after="120" w:before="12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27">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8">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9">
            <w:pPr>
              <w:spacing w:after="120" w:before="120" w:lineRule="auto"/>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A">
            <w:pPr>
              <w:spacing w:after="120" w:before="12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2C">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D">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E">
            <w:pPr>
              <w:spacing w:after="120" w:before="120" w:lineRule="auto"/>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2F">
            <w:pPr>
              <w:spacing w:after="120" w:before="120" w:lineRule="auto"/>
              <w:jc w:val="center"/>
              <w:rPr>
                <w:sz w:val="28"/>
                <w:szCs w:val="28"/>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0">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31">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32">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33">
            <w:pPr>
              <w:spacing w:after="120" w:before="120" w:lineRule="auto"/>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34">
            <w:pPr>
              <w:spacing w:after="120" w:before="120" w:lineRule="auto"/>
              <w:jc w:val="center"/>
              <w:rPr>
                <w:sz w:val="28"/>
                <w:szCs w:val="28"/>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5">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36">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37">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38">
            <w:pPr>
              <w:spacing w:after="120" w:before="120" w:lineRule="auto"/>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39">
            <w:pPr>
              <w:spacing w:after="120" w:before="120" w:lineRule="auto"/>
              <w:jc w:val="center"/>
              <w:rPr>
                <w:sz w:val="28"/>
                <w:szCs w:val="28"/>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A">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3B">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3C">
            <w:pPr>
              <w:spacing w:after="120" w:before="120" w:lineRule="auto"/>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3D">
            <w:pPr>
              <w:spacing w:after="120" w:before="120" w:lineRule="auto"/>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3E">
            <w:pPr>
              <w:spacing w:after="120" w:before="120" w:lineRule="auto"/>
              <w:jc w:val="center"/>
              <w:rPr>
                <w:sz w:val="28"/>
                <w:szCs w:val="28"/>
                <w:vertAlign w:val="baseline"/>
              </w:rPr>
            </w:pPr>
            <w:r w:rsidDel="00000000" w:rsidR="00000000" w:rsidRPr="00000000">
              <w:rPr>
                <w:rtl w:val="0"/>
              </w:rPr>
            </w:r>
          </w:p>
        </w:tc>
      </w:tr>
    </w:tbl>
    <w:p w:rsidR="00000000" w:rsidDel="00000000" w:rsidP="00000000" w:rsidRDefault="00000000" w:rsidRPr="00000000" w14:paraId="0000003F">
      <w:pPr>
        <w:spacing w:after="120" w:before="120" w:lineRule="auto"/>
        <w:jc w:val="both"/>
        <w:rPr>
          <w:sz w:val="28"/>
          <w:szCs w:val="28"/>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40">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發   行</w:t>
            </w:r>
          </w:p>
        </w:tc>
        <w:tc>
          <w:tcPr>
            <w:vAlign w:val="top"/>
          </w:tcPr>
          <w:p w:rsidR="00000000" w:rsidDel="00000000" w:rsidP="00000000" w:rsidRDefault="00000000" w:rsidRPr="00000000" w14:paraId="00000041">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核    准</w:t>
            </w:r>
          </w:p>
        </w:tc>
        <w:tc>
          <w:tcPr>
            <w:vAlign w:val="top"/>
          </w:tcPr>
          <w:p w:rsidR="00000000" w:rsidDel="00000000" w:rsidP="00000000" w:rsidRDefault="00000000" w:rsidRPr="00000000" w14:paraId="00000042">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審    查</w:t>
            </w:r>
          </w:p>
        </w:tc>
        <w:tc>
          <w:tcPr>
            <w:vAlign w:val="top"/>
          </w:tcPr>
          <w:p w:rsidR="00000000" w:rsidDel="00000000" w:rsidP="00000000" w:rsidRDefault="00000000" w:rsidRPr="00000000" w14:paraId="00000043">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44">
            <w:pPr>
              <w:spacing w:after="120" w:before="120" w:lineRule="auto"/>
              <w:jc w:val="both"/>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45">
            <w:pPr>
              <w:spacing w:after="120" w:before="120" w:lineRule="auto"/>
              <w:jc w:val="both"/>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46">
            <w:pPr>
              <w:spacing w:after="120" w:before="120" w:lineRule="auto"/>
              <w:jc w:val="both"/>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47">
            <w:pPr>
              <w:spacing w:after="120" w:before="120" w:lineRule="auto"/>
              <w:jc w:val="both"/>
              <w:rPr>
                <w:sz w:val="28"/>
                <w:szCs w:val="28"/>
                <w:vertAlign w:val="baseline"/>
              </w:rPr>
            </w:pPr>
            <w:r w:rsidDel="00000000" w:rsidR="00000000" w:rsidRPr="00000000">
              <w:rPr>
                <w:rtl w:val="0"/>
              </w:rPr>
            </w:r>
          </w:p>
        </w:tc>
      </w:tr>
    </w:tbl>
    <w:p w:rsidR="00000000" w:rsidDel="00000000" w:rsidP="00000000" w:rsidRDefault="00000000" w:rsidRPr="00000000" w14:paraId="00000048">
      <w:pPr>
        <w:rPr>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目的：為使本公司可能產生的風險和機會能被有效的鑑別，並提出適切的管理方案，以預防或減少非預期的影響，實現持續改善，特制訂本程序。</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適用範圍：在公司品質與安全管理系統活動中應對風險和機會的方法及要求的管制。</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權責：</w:t>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風險和機會考量面提出：各部門負責人。</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風險和機會考量面的鑑別：各部門負責人。</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重大風險和機會考量面的決定：總經理。</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定義：無。</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風險與機會評估的提出</w:t>
      </w:r>
    </w:p>
    <w:p w:rsidR="00000000" w:rsidDel="00000000" w:rsidP="00000000" w:rsidRDefault="00000000" w:rsidRPr="00000000" w14:paraId="0000005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各相關單位主管應將“瞭解本公司內部、外部之處境”及“瞭解利害關係者的需求和期望”其資訊審查之結果，提出列入風險與機會評估中。</w:t>
      </w:r>
    </w:p>
    <w:p w:rsidR="00000000" w:rsidDel="00000000" w:rsidP="00000000" w:rsidRDefault="00000000" w:rsidRPr="00000000" w14:paraId="0000005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若遇到緊急事件或重大課題時應及時提出，並召開風險和機會考量面評估臨時會議。</w:t>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風險和機會評估</w:t>
      </w:r>
    </w:p>
    <w:p w:rsidR="00000000" w:rsidDel="00000000" w:rsidP="00000000" w:rsidRDefault="00000000" w:rsidRPr="00000000" w14:paraId="0000005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最高管理階層應召集全體各部門主管召開風險和機會評估會議，以評估與決定高風險與機會評估項目。</w:t>
      </w:r>
    </w:p>
    <w:p w:rsidR="00000000" w:rsidDel="00000000" w:rsidP="00000000" w:rsidRDefault="00000000" w:rsidRPr="00000000" w14:paraId="0000005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各部門就所提出的風險與機會評估內容報告，由各部門負責人加以判定審查，是否確有影響本公司生產或服務之情況。</w:t>
      </w:r>
    </w:p>
    <w:p w:rsidR="00000000" w:rsidDel="00000000" w:rsidP="00000000" w:rsidRDefault="00000000" w:rsidRPr="00000000" w14:paraId="0000005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風險和機會評估時，應就各項風險和機會考量面/影響事項，對產品與服務的衝擊(風險和機會)，登錄於「風險與機會評估管制表」(TB-S28)中。</w:t>
      </w:r>
    </w:p>
    <w:p w:rsidR="00000000" w:rsidDel="00000000" w:rsidP="00000000" w:rsidRDefault="00000000" w:rsidRPr="00000000" w14:paraId="0000005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風險與機會評估時，各項風險與機會的風險度由各部門負責人共同商議後確定，經討論後為高風險與機會者，須提出應對措施，並由總經理核准。</w:t>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高風險與機會評估的決定</w:t>
      </w:r>
    </w:p>
    <w:p w:rsidR="00000000" w:rsidDel="00000000" w:rsidP="00000000" w:rsidRDefault="00000000" w:rsidRPr="00000000" w14:paraId="0000005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依據5.2執行之風險和機會評估，依下列規定計算分數標準，得分 達10分以上者，(高風險)，應採取改善措施。</w:t>
      </w:r>
    </w:p>
    <w:p w:rsidR="00000000" w:rsidDel="00000000" w:rsidP="00000000" w:rsidRDefault="00000000" w:rsidRPr="00000000" w14:paraId="0000005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風險與機會評估之評分由風險與機會評估會議商議後決定，其評分規則：</w:t>
      </w:r>
    </w:p>
    <w:p w:rsidR="00000000" w:rsidDel="00000000" w:rsidP="00000000" w:rsidRDefault="00000000" w:rsidRPr="00000000" w14:paraId="0000005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Times New Roman" w:cs="Times New Roman" w:eastAsia="Times New Roman" w:hAnsi="Times New Roman"/>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風險發生之嚴重性</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5分：極嚴重。</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4分：嚴重。</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3分：普通。</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2分：輕微。</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1分：極輕微。</w:t>
      </w:r>
    </w:p>
    <w:p w:rsidR="00000000" w:rsidDel="00000000" w:rsidP="00000000" w:rsidRDefault="00000000" w:rsidRPr="00000000" w14:paraId="0000006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風險發生之可能性(P)：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5分：極有可能。</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4分：很有可能。</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3分：可能。</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2分：不太可能。</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hanging="113.0000000000001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1分：極不可能。</w:t>
      </w:r>
    </w:p>
    <w:p w:rsidR="00000000" w:rsidDel="00000000" w:rsidP="00000000" w:rsidRDefault="00000000" w:rsidRPr="00000000" w14:paraId="0000006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風險計分方式如下：風險=嚴重性(S)×可能性(P)。</w:t>
      </w:r>
    </w:p>
    <w:tbl>
      <w:tblPr>
        <w:tblStyle w:val="Table4"/>
        <w:tblW w:w="78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4"/>
        <w:gridCol w:w="1304"/>
        <w:gridCol w:w="1304"/>
        <w:gridCol w:w="1304"/>
        <w:gridCol w:w="1304"/>
        <w:gridCol w:w="1304"/>
        <w:tblGridChange w:id="0">
          <w:tblGrid>
            <w:gridCol w:w="1304"/>
            <w:gridCol w:w="1304"/>
            <w:gridCol w:w="1304"/>
            <w:gridCol w:w="1304"/>
            <w:gridCol w:w="1304"/>
            <w:gridCol w:w="1304"/>
          </w:tblGrid>
        </w:tblGridChange>
      </w:tblGrid>
      <w:tr>
        <w:trPr>
          <w:cantSplit w:val="0"/>
          <w:trHeight w:val="567" w:hRule="atLeast"/>
          <w:tblHeader w:val="0"/>
        </w:trPr>
        <w:tc>
          <w:tcP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-64451</wp:posOffset>
                      </wp:positionH>
                      <wp:positionV relativeFrom="paragraph">
                        <wp:posOffset>953</wp:posOffset>
                      </wp:positionV>
                      <wp:extent cx="828675" cy="414655"/>
                      <wp:effectExtent b="0" l="0" r="0" t="0"/>
                      <wp:wrapNone/>
                      <wp:docPr id="1" name=""/>
                      <a:graphic>
                        <a:graphicData uri="http://schemas.microsoft.com/office/word/2010/wordprocessingShape">
                          <wps:wsp>
                            <wps:cNvCnPr/>
                            <wps:spPr>
                              <a:xfrm>
                                <a:off x="4936425" y="3577435"/>
                                <a:ext cx="819150" cy="40513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-64451</wp:posOffset>
                      </wp:positionH>
                      <wp:positionV relativeFrom="paragraph">
                        <wp:posOffset>953</wp:posOffset>
                      </wp:positionV>
                      <wp:extent cx="828675" cy="41465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28675" cy="414655"/>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vAlign w:val="center"/>
          </w:tcPr>
          <w:p w:rsidR="00000000" w:rsidDel="00000000" w:rsidP="00000000" w:rsidRDefault="00000000" w:rsidRPr="00000000" w14:paraId="0000006B">
            <w:pPr>
              <w:jc w:val="cente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06C">
            <w:pPr>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06D">
            <w:pPr>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06E">
            <w:pPr>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06F">
            <w:pPr>
              <w:jc w:val="center"/>
              <w:rPr>
                <w:vertAlign w:val="baseline"/>
              </w:rPr>
            </w:pPr>
            <w:r w:rsidDel="00000000" w:rsidR="00000000" w:rsidRPr="00000000">
              <w:rPr>
                <w:vertAlign w:val="baseline"/>
                <w:rtl w:val="0"/>
              </w:rPr>
              <w:t xml:space="preserve">5</w:t>
            </w:r>
          </w:p>
        </w:tc>
      </w:tr>
      <w:tr>
        <w:trPr>
          <w:cantSplit w:val="0"/>
          <w:trHeight w:val="567" w:hRule="atLeast"/>
          <w:tblHeader w:val="0"/>
        </w:trPr>
        <w:tc>
          <w:tcPr>
            <w:vAlign w:val="center"/>
          </w:tcPr>
          <w:p w:rsidR="00000000" w:rsidDel="00000000" w:rsidP="00000000" w:rsidRDefault="00000000" w:rsidRPr="00000000" w14:paraId="00000070">
            <w:pPr>
              <w:jc w:val="cente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071">
            <w:pPr>
              <w:jc w:val="cente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072">
            <w:pPr>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073">
            <w:pPr>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074">
            <w:pPr>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075">
            <w:pPr>
              <w:jc w:val="center"/>
              <w:rPr>
                <w:vertAlign w:val="baseline"/>
              </w:rPr>
            </w:pPr>
            <w:r w:rsidDel="00000000" w:rsidR="00000000" w:rsidRPr="00000000">
              <w:rPr>
                <w:vertAlign w:val="baseline"/>
                <w:rtl w:val="0"/>
              </w:rPr>
              <w:t xml:space="preserve">5</w:t>
            </w:r>
          </w:p>
        </w:tc>
      </w:tr>
      <w:tr>
        <w:trPr>
          <w:cantSplit w:val="0"/>
          <w:trHeight w:val="567" w:hRule="atLeast"/>
          <w:tblHeader w:val="0"/>
        </w:trPr>
        <w:tc>
          <w:tcPr>
            <w:vAlign w:val="center"/>
          </w:tcPr>
          <w:p w:rsidR="00000000" w:rsidDel="00000000" w:rsidP="00000000" w:rsidRDefault="00000000" w:rsidRPr="00000000" w14:paraId="00000076">
            <w:pPr>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077">
            <w:pPr>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078">
            <w:pPr>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079">
            <w:pPr>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07A">
            <w:pPr>
              <w:jc w:val="center"/>
              <w:rPr>
                <w:vertAlign w:val="baseline"/>
              </w:rPr>
            </w:pPr>
            <w:r w:rsidDel="00000000" w:rsidR="00000000" w:rsidRPr="00000000">
              <w:rPr>
                <w:vertAlign w:val="baseline"/>
                <w:rtl w:val="0"/>
              </w:rPr>
              <w:t xml:space="preserve">8</w:t>
            </w:r>
          </w:p>
        </w:tc>
        <w:tc>
          <w:tcPr>
            <w:vAlign w:val="center"/>
          </w:tcPr>
          <w:p w:rsidR="00000000" w:rsidDel="00000000" w:rsidP="00000000" w:rsidRDefault="00000000" w:rsidRPr="00000000" w14:paraId="0000007B">
            <w:pPr>
              <w:jc w:val="center"/>
              <w:rPr>
                <w:vertAlign w:val="baseline"/>
              </w:rPr>
            </w:pPr>
            <w:r w:rsidDel="00000000" w:rsidR="00000000" w:rsidRPr="00000000">
              <w:rPr>
                <w:vertAlign w:val="baseline"/>
                <w:rtl w:val="0"/>
              </w:rPr>
              <w:t xml:space="preserve">10</w:t>
            </w:r>
          </w:p>
        </w:tc>
      </w:tr>
      <w:tr>
        <w:trPr>
          <w:cantSplit w:val="0"/>
          <w:trHeight w:val="567" w:hRule="atLeast"/>
          <w:tblHeader w:val="0"/>
        </w:trPr>
        <w:tc>
          <w:tcPr>
            <w:vAlign w:val="center"/>
          </w:tcPr>
          <w:p w:rsidR="00000000" w:rsidDel="00000000" w:rsidP="00000000" w:rsidRDefault="00000000" w:rsidRPr="00000000" w14:paraId="0000007C">
            <w:pPr>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07D">
            <w:pPr>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07E">
            <w:pPr>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07F">
            <w:pPr>
              <w:jc w:val="center"/>
              <w:rPr>
                <w:vertAlign w:val="baseline"/>
              </w:rPr>
            </w:pPr>
            <w:r w:rsidDel="00000000" w:rsidR="00000000" w:rsidRPr="00000000">
              <w:rPr>
                <w:vertAlign w:val="baseline"/>
                <w:rtl w:val="0"/>
              </w:rPr>
              <w:t xml:space="preserve">9</w:t>
            </w:r>
          </w:p>
        </w:tc>
        <w:tc>
          <w:tcPr>
            <w:vAlign w:val="center"/>
          </w:tcPr>
          <w:p w:rsidR="00000000" w:rsidDel="00000000" w:rsidP="00000000" w:rsidRDefault="00000000" w:rsidRPr="00000000" w14:paraId="00000080">
            <w:pPr>
              <w:jc w:val="center"/>
              <w:rPr>
                <w:vertAlign w:val="baseline"/>
              </w:rPr>
            </w:pPr>
            <w:r w:rsidDel="00000000" w:rsidR="00000000" w:rsidRPr="00000000">
              <w:rPr>
                <w:vertAlign w:val="baseline"/>
                <w:rtl w:val="0"/>
              </w:rPr>
              <w:t xml:space="preserve">12</w:t>
            </w:r>
          </w:p>
        </w:tc>
        <w:tc>
          <w:tcPr>
            <w:vAlign w:val="center"/>
          </w:tcPr>
          <w:p w:rsidR="00000000" w:rsidDel="00000000" w:rsidP="00000000" w:rsidRDefault="00000000" w:rsidRPr="00000000" w14:paraId="00000081">
            <w:pPr>
              <w:jc w:val="center"/>
              <w:rPr>
                <w:vertAlign w:val="baseline"/>
              </w:rPr>
            </w:pPr>
            <w:r w:rsidDel="00000000" w:rsidR="00000000" w:rsidRPr="00000000">
              <w:rPr>
                <w:vertAlign w:val="baseline"/>
                <w:rtl w:val="0"/>
              </w:rPr>
              <w:t xml:space="preserve">15</w:t>
            </w:r>
          </w:p>
        </w:tc>
      </w:tr>
      <w:tr>
        <w:trPr>
          <w:cantSplit w:val="0"/>
          <w:trHeight w:val="567" w:hRule="atLeast"/>
          <w:tblHeader w:val="0"/>
        </w:trPr>
        <w:tc>
          <w:tcPr>
            <w:vAlign w:val="center"/>
          </w:tcPr>
          <w:p w:rsidR="00000000" w:rsidDel="00000000" w:rsidP="00000000" w:rsidRDefault="00000000" w:rsidRPr="00000000" w14:paraId="00000082">
            <w:pPr>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083">
            <w:pPr>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084">
            <w:pPr>
              <w:jc w:val="center"/>
              <w:rPr>
                <w:vertAlign w:val="baseline"/>
              </w:rPr>
            </w:pPr>
            <w:r w:rsidDel="00000000" w:rsidR="00000000" w:rsidRPr="00000000">
              <w:rPr>
                <w:vertAlign w:val="baseline"/>
                <w:rtl w:val="0"/>
              </w:rPr>
              <w:t xml:space="preserve">8</w:t>
            </w:r>
          </w:p>
        </w:tc>
        <w:tc>
          <w:tcPr>
            <w:vAlign w:val="center"/>
          </w:tcPr>
          <w:p w:rsidR="00000000" w:rsidDel="00000000" w:rsidP="00000000" w:rsidRDefault="00000000" w:rsidRPr="00000000" w14:paraId="00000085">
            <w:pPr>
              <w:jc w:val="center"/>
              <w:rPr>
                <w:vertAlign w:val="baseline"/>
              </w:rPr>
            </w:pPr>
            <w:r w:rsidDel="00000000" w:rsidR="00000000" w:rsidRPr="00000000">
              <w:rPr>
                <w:vertAlign w:val="baseline"/>
                <w:rtl w:val="0"/>
              </w:rPr>
              <w:t xml:space="preserve">12</w:t>
            </w:r>
          </w:p>
        </w:tc>
        <w:tc>
          <w:tcPr>
            <w:vAlign w:val="center"/>
          </w:tcPr>
          <w:p w:rsidR="00000000" w:rsidDel="00000000" w:rsidP="00000000" w:rsidRDefault="00000000" w:rsidRPr="00000000" w14:paraId="00000086">
            <w:pPr>
              <w:jc w:val="center"/>
              <w:rPr>
                <w:vertAlign w:val="baseline"/>
              </w:rPr>
            </w:pPr>
            <w:r w:rsidDel="00000000" w:rsidR="00000000" w:rsidRPr="00000000">
              <w:rPr>
                <w:vertAlign w:val="baseline"/>
                <w:rtl w:val="0"/>
              </w:rPr>
              <w:t xml:space="preserve">16</w:t>
            </w:r>
          </w:p>
        </w:tc>
        <w:tc>
          <w:tcPr>
            <w:vAlign w:val="center"/>
          </w:tcPr>
          <w:p w:rsidR="00000000" w:rsidDel="00000000" w:rsidP="00000000" w:rsidRDefault="00000000" w:rsidRPr="00000000" w14:paraId="00000087">
            <w:pPr>
              <w:jc w:val="center"/>
              <w:rPr>
                <w:vertAlign w:val="baseline"/>
              </w:rPr>
            </w:pPr>
            <w:r w:rsidDel="00000000" w:rsidR="00000000" w:rsidRPr="00000000">
              <w:rPr>
                <w:vertAlign w:val="baseline"/>
                <w:rtl w:val="0"/>
              </w:rPr>
              <w:t xml:space="preserve">20</w:t>
            </w:r>
          </w:p>
        </w:tc>
      </w:tr>
      <w:tr>
        <w:trPr>
          <w:cantSplit w:val="0"/>
          <w:trHeight w:val="567" w:hRule="atLeast"/>
          <w:tblHeader w:val="0"/>
        </w:trPr>
        <w:tc>
          <w:tcPr>
            <w:vAlign w:val="center"/>
          </w:tcPr>
          <w:p w:rsidR="00000000" w:rsidDel="00000000" w:rsidP="00000000" w:rsidRDefault="00000000" w:rsidRPr="00000000" w14:paraId="00000088">
            <w:pPr>
              <w:jc w:val="center"/>
              <w:rPr>
                <w:vertAlign w:val="baseline"/>
              </w:rPr>
            </w:pPr>
            <w:r w:rsidDel="00000000" w:rsidR="00000000" w:rsidRPr="00000000">
              <w:rPr>
                <w:vertAlign w:val="baseline"/>
                <w:rtl w:val="0"/>
              </w:rPr>
              <w:t xml:space="preserve">5</w:t>
            </w:r>
          </w:p>
        </w:tc>
        <w:tc>
          <w:tcPr>
            <w:vAlign w:val="center"/>
          </w:tcPr>
          <w:p w:rsidR="00000000" w:rsidDel="00000000" w:rsidP="00000000" w:rsidRDefault="00000000" w:rsidRPr="00000000" w14:paraId="00000089">
            <w:pPr>
              <w:jc w:val="center"/>
              <w:rPr>
                <w:vertAlign w:val="baseline"/>
              </w:rPr>
            </w:pPr>
            <w:r w:rsidDel="00000000" w:rsidR="00000000" w:rsidRPr="00000000">
              <w:rPr>
                <w:vertAlign w:val="baseline"/>
                <w:rtl w:val="0"/>
              </w:rPr>
              <w:t xml:space="preserve">5</w:t>
            </w:r>
          </w:p>
        </w:tc>
        <w:tc>
          <w:tcPr>
            <w:vAlign w:val="center"/>
          </w:tcPr>
          <w:p w:rsidR="00000000" w:rsidDel="00000000" w:rsidP="00000000" w:rsidRDefault="00000000" w:rsidRPr="00000000" w14:paraId="0000008A">
            <w:pPr>
              <w:jc w:val="center"/>
              <w:rPr>
                <w:vertAlign w:val="baseline"/>
              </w:rPr>
            </w:pPr>
            <w:r w:rsidDel="00000000" w:rsidR="00000000" w:rsidRPr="00000000">
              <w:rPr>
                <w:vertAlign w:val="baseline"/>
                <w:rtl w:val="0"/>
              </w:rPr>
              <w:t xml:space="preserve">10</w:t>
            </w:r>
          </w:p>
        </w:tc>
        <w:tc>
          <w:tcPr>
            <w:vAlign w:val="center"/>
          </w:tcPr>
          <w:p w:rsidR="00000000" w:rsidDel="00000000" w:rsidP="00000000" w:rsidRDefault="00000000" w:rsidRPr="00000000" w14:paraId="0000008B">
            <w:pPr>
              <w:jc w:val="center"/>
              <w:rPr>
                <w:vertAlign w:val="baseline"/>
              </w:rPr>
            </w:pPr>
            <w:r w:rsidDel="00000000" w:rsidR="00000000" w:rsidRPr="00000000">
              <w:rPr>
                <w:vertAlign w:val="baseline"/>
                <w:rtl w:val="0"/>
              </w:rPr>
              <w:t xml:space="preserve">15</w:t>
            </w:r>
          </w:p>
        </w:tc>
        <w:tc>
          <w:tcPr>
            <w:vAlign w:val="center"/>
          </w:tcPr>
          <w:p w:rsidR="00000000" w:rsidDel="00000000" w:rsidP="00000000" w:rsidRDefault="00000000" w:rsidRPr="00000000" w14:paraId="0000008C">
            <w:pPr>
              <w:jc w:val="center"/>
              <w:rPr>
                <w:vertAlign w:val="baseline"/>
              </w:rPr>
            </w:pPr>
            <w:r w:rsidDel="00000000" w:rsidR="00000000" w:rsidRPr="00000000">
              <w:rPr>
                <w:vertAlign w:val="baseline"/>
                <w:rtl w:val="0"/>
              </w:rPr>
              <w:t xml:space="preserve">20</w:t>
            </w:r>
          </w:p>
        </w:tc>
        <w:tc>
          <w:tcPr>
            <w:vAlign w:val="center"/>
          </w:tcPr>
          <w:p w:rsidR="00000000" w:rsidDel="00000000" w:rsidP="00000000" w:rsidRDefault="00000000" w:rsidRPr="00000000" w14:paraId="0000008D">
            <w:pPr>
              <w:jc w:val="center"/>
              <w:rPr>
                <w:vertAlign w:val="baseline"/>
              </w:rPr>
            </w:pPr>
            <w:r w:rsidDel="00000000" w:rsidR="00000000" w:rsidRPr="00000000">
              <w:rPr>
                <w:vertAlign w:val="baseline"/>
                <w:rtl w:val="0"/>
              </w:rPr>
              <w:t xml:space="preserve">25</w:t>
            </w:r>
          </w:p>
        </w:tc>
      </w:tr>
    </w:tbl>
    <w:p w:rsidR="00000000" w:rsidDel="00000000" w:rsidP="00000000" w:rsidRDefault="00000000" w:rsidRPr="00000000" w14:paraId="0000008E">
      <w:pPr>
        <w:ind w:left="1380" w:firstLine="0"/>
        <w:rP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凡列為高風險與機會者，或法令規章強制列管，責任部門應擬訂應對措施，登錄於「風險與機會評估管制表」(TB-S28)並加以執行。</w:t>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風險與機會評估結果未列為高風險與機會者，若總經理認為有必要時，亦得責由相關單位主管擬訂應對措施並加以執行，以達成本公司對改善風險與機會之承諾。</w:t>
      </w:r>
    </w:p>
    <w:p w:rsidR="00000000" w:rsidDel="00000000" w:rsidP="00000000" w:rsidRDefault="00000000" w:rsidRPr="00000000" w14:paraId="0000009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風險與機會應對措施執行的追蹤管制：</w:t>
      </w:r>
    </w:p>
    <w:p w:rsidR="00000000" w:rsidDel="00000000" w:rsidP="00000000" w:rsidRDefault="00000000" w:rsidRPr="00000000" w14:paraId="0000009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各部門對於風險與機會應對措施的執行狀況，由各單位主管負責監督管制。</w:t>
      </w:r>
    </w:p>
    <w:p w:rsidR="00000000" w:rsidDel="00000000" w:rsidP="00000000" w:rsidRDefault="00000000" w:rsidRPr="00000000" w14:paraId="000000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品質安全小組組長應追蹤確認各部門之風險與機會績效，以瞭解風險與機會應對措施的執行進度及成效，呈總經理核閱。</w:t>
      </w:r>
    </w:p>
    <w:p w:rsidR="00000000" w:rsidDel="00000000" w:rsidP="00000000" w:rsidRDefault="00000000" w:rsidRPr="00000000" w14:paraId="0000009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若有執行上的困難或執行單位推行不力之情形時，應立即呈報總經理知悉，並採取必要之矯正措施。</w:t>
      </w:r>
    </w:p>
    <w:p w:rsidR="00000000" w:rsidDel="00000000" w:rsidP="00000000" w:rsidRDefault="00000000" w:rsidRPr="00000000" w14:paraId="0000009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必要時，品質安全小組組長應與各部門負責人檢討/修風險與機會應對措施之適切。</w:t>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為確保風險與機會評估之適切性，應每年重新檢討「風險與機會評估管制表」(TB-S28)。</w:t>
      </w:r>
    </w:p>
    <w:p w:rsidR="00000000" w:rsidDel="00000000" w:rsidP="00000000" w:rsidRDefault="00000000" w:rsidRPr="00000000" w14:paraId="0000009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本公司處理風險與機會之措施更新於品質管理系統對應不同產品線之「風險管理表」。</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載運輪椅車輛(輪椅升降台)：「風險管理表(載運輪椅車輛(輪椅升降台))」（WO-S01）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載運輪椅車輛(活動式坡道)：「風險管理表(載運輪椅車輛(活動式坡道))」（WO-S05）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到宅沐浴車輛：「風險管理表(到宅沐浴車輛)」(WO-S07)</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小型廂式醫療車輛：「風險管理表(巡迴診療車)」(WO-S09)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小型廂式露營車輛：「風險管理表(小型廂式露營車)」(WO-S11)</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w:t>
      </w:r>
    </w:p>
    <w:p w:rsidR="00000000" w:rsidDel="00000000" w:rsidP="00000000" w:rsidRDefault="00000000" w:rsidRPr="00000000" w14:paraId="0000009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載運輪椅車輛(輪椅升降台)：「風險管理表(載運輪椅車輛(輪椅升降台))」（WO-S01）</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載運輪椅車輛(活動式坡道)：「風險管理表(載運輪椅車輛(活動式坡道))」（WO-S05）</w:t>
      </w:r>
    </w:p>
    <w:p w:rsidR="00000000" w:rsidDel="00000000" w:rsidP="00000000" w:rsidRDefault="00000000" w:rsidRPr="00000000" w14:paraId="000000A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到宅沐浴車輛：「風險管理表(到宅沐浴車輛)」(WO-S07)</w:t>
      </w:r>
    </w:p>
    <w:p w:rsidR="00000000" w:rsidDel="00000000" w:rsidP="00000000" w:rsidRDefault="00000000" w:rsidRPr="00000000" w14:paraId="000000A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小型廂式醫療車輛：「風險管理表(巡迴診療車)」(WO-S09)</w:t>
      </w:r>
    </w:p>
    <w:p w:rsidR="00000000" w:rsidDel="00000000" w:rsidP="00000000" w:rsidRDefault="00000000" w:rsidRPr="00000000" w14:paraId="000000A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小型廂式露營車輛：「風險管理表(小型廂式露營車)」(WO-S11)</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w:t>
      </w:r>
    </w:p>
    <w:p w:rsidR="00000000" w:rsidDel="00000000" w:rsidP="00000000" w:rsidRDefault="00000000" w:rsidRPr="00000000" w14:paraId="000000A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「風險與機會評估管制表」(TB-S28)</w:t>
      </w:r>
    </w:p>
    <w:sectPr>
      <w:headerReference r:id="rId9" w:type="default"/>
      <w:footerReference r:id="rId10"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both"/>
      <w:rPr>
        <w:sz w:val="20"/>
        <w:szCs w:val="20"/>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color="000000" w:space="1" w:sz="4" w:val="single"/>
      </w:pBdr>
      <w:jc w:val="both"/>
      <w:rPr>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0AA">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文件編號</w:t>
          </w:r>
        </w:p>
        <w:p w:rsidR="00000000" w:rsidDel="00000000" w:rsidP="00000000" w:rsidRDefault="00000000" w:rsidRPr="00000000" w14:paraId="000000AB">
          <w:pPr>
            <w:jc w:val="center"/>
            <w:rPr>
              <w:vertAlign w:val="baseline"/>
            </w:rPr>
          </w:pPr>
          <w:r w:rsidDel="00000000" w:rsidR="00000000" w:rsidRPr="00000000">
            <w:rPr>
              <w:sz w:val="20"/>
              <w:szCs w:val="20"/>
              <w:vertAlign w:val="baseline"/>
              <w:rtl w:val="0"/>
            </w:rPr>
            <w:t xml:space="preserve">DOCUMENT NO</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AC">
          <w:pPr>
            <w:jc w:val="center"/>
            <w:rPr>
              <w:vertAlign w:val="baseline"/>
            </w:rPr>
          </w:pPr>
          <w:r w:rsidDel="00000000" w:rsidR="00000000" w:rsidRPr="00000000">
            <w:rPr>
              <w:vertAlign w:val="baseline"/>
              <w:rtl w:val="0"/>
            </w:rPr>
            <w:t xml:space="preserve">QP-S14</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AF">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總 頁 數</w:t>
          </w:r>
        </w:p>
        <w:p w:rsidR="00000000" w:rsidDel="00000000" w:rsidP="00000000" w:rsidRDefault="00000000" w:rsidRPr="00000000" w14:paraId="000000B0">
          <w:pPr>
            <w:jc w:val="center"/>
            <w:rPr>
              <w:vertAlign w:val="baseline"/>
            </w:rPr>
          </w:pPr>
          <w:r w:rsidDel="00000000" w:rsidR="00000000" w:rsidRPr="00000000">
            <w:rPr>
              <w:sz w:val="20"/>
              <w:szCs w:val="20"/>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B1">
          <w:pPr>
            <w:jc w:val="center"/>
            <w:rPr>
              <w:vertAlign w:val="baseline"/>
            </w:rPr>
          </w:pPr>
          <w:r w:rsidDel="00000000" w:rsidR="00000000" w:rsidRPr="00000000">
            <w:rPr>
              <w:rFonts w:ascii="Gungsuh" w:cs="Gungsuh" w:eastAsia="Gungsuh" w:hAnsi="Gungsuh"/>
              <w:vertAlign w:val="baseline"/>
              <w:rtl w:val="0"/>
            </w:rPr>
            <w:t xml:space="preserve">共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3  頁</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3"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B7">
          <w:pPr>
            <w:jc w:val="both"/>
            <w:rPr>
              <w:vertAlign w:val="baseline"/>
            </w:rPr>
          </w:pPr>
          <w:r w:rsidDel="00000000" w:rsidR="00000000" w:rsidRPr="00000000">
            <w:rPr>
              <w:rFonts w:ascii="Gungsuh" w:cs="Gungsuh" w:eastAsia="Gungsuh" w:hAnsi="Gungsuh"/>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0B8">
          <w:pPr>
            <w:jc w:val="both"/>
            <w:rPr>
              <w:vertAlign w:val="baseline"/>
            </w:rPr>
          </w:pPr>
          <w:r w:rsidDel="00000000" w:rsidR="00000000" w:rsidRPr="00000000">
            <w:rPr>
              <w:rFonts w:ascii="Gungsuh" w:cs="Gungsuh" w:eastAsia="Gungsuh" w:hAnsi="Gungsuh"/>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BD">
          <w:pPr>
            <w:jc w:val="center"/>
            <w:rPr>
              <w:color w:val="000000"/>
              <w:vertAlign w:val="baseline"/>
            </w:rPr>
          </w:pPr>
          <w:r w:rsidDel="00000000" w:rsidR="00000000" w:rsidRPr="00000000">
            <w:rPr>
              <w:color w:val="000000"/>
              <w:vertAlign w:val="baseline"/>
              <w:rtl w:val="0"/>
            </w:rPr>
            <w:t xml:space="preserve">QP-S14</w:t>
          </w:r>
        </w:p>
      </w:tc>
      <w:tc>
        <w:tcPr>
          <w:gridSpan w:val="3"/>
          <w:tcBorders>
            <w:top w:color="000000" w:space="0" w:sz="0" w:val="nil"/>
          </w:tcBorders>
          <w:vAlign w:val="center"/>
        </w:tcPr>
        <w:p w:rsidR="00000000" w:rsidDel="00000000" w:rsidP="00000000" w:rsidRDefault="00000000" w:rsidRPr="00000000" w14:paraId="000000BE">
          <w:pPr>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風險與機會管理辦法</w:t>
          </w:r>
        </w:p>
      </w:tc>
    </w:tr>
    <w:tr>
      <w:trPr>
        <w:cantSplit w:val="1"/>
        <w:trHeight w:val="360" w:hRule="atLeast"/>
        <w:tblHeader w:val="0"/>
      </w:trPr>
      <w:tc>
        <w:tcPr>
          <w:vAlign w:val="center"/>
        </w:tcPr>
        <w:p w:rsidR="00000000" w:rsidDel="00000000" w:rsidP="00000000" w:rsidRDefault="00000000" w:rsidRPr="00000000" w14:paraId="000000C1">
          <w:pPr>
            <w:jc w:val="center"/>
            <w:rPr>
              <w:vertAlign w:val="baseline"/>
            </w:rPr>
          </w:pPr>
          <w:r w:rsidDel="00000000" w:rsidR="00000000" w:rsidRPr="00000000">
            <w:rPr>
              <w:vertAlign w:val="baseline"/>
              <w:rtl w:val="0"/>
            </w:rPr>
            <w:t xml:space="preserve">ISSUE DATE</w:t>
          </w:r>
        </w:p>
      </w:tc>
      <w:tc>
        <w:tcPr>
          <w:vAlign w:val="center"/>
        </w:tcPr>
        <w:p w:rsidR="00000000" w:rsidDel="00000000" w:rsidP="00000000" w:rsidRDefault="00000000" w:rsidRPr="00000000" w14:paraId="000000C2">
          <w:pPr>
            <w:jc w:val="center"/>
            <w:rPr>
              <w:color w:val="ff0000"/>
              <w:vertAlign w:val="baseline"/>
            </w:rPr>
          </w:pPr>
          <w:r w:rsidDel="00000000" w:rsidR="00000000" w:rsidRPr="00000000">
            <w:rPr>
              <w:color w:val="ff0000"/>
              <w:vertAlign w:val="baseline"/>
              <w:rtl w:val="0"/>
            </w:rPr>
            <w:t xml:space="preserve">2024/03/25</w:t>
          </w:r>
        </w:p>
      </w:tc>
      <w:tc>
        <w:tcPr>
          <w:vAlign w:val="center"/>
        </w:tcPr>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0C4">
          <w:pPr>
            <w:jc w:val="center"/>
            <w:rPr>
              <w:color w:val="ff0000"/>
              <w:vertAlign w:val="baseline"/>
            </w:rPr>
          </w:pPr>
          <w:r w:rsidDel="00000000" w:rsidR="00000000" w:rsidRPr="00000000">
            <w:rPr>
              <w:color w:val="ff0000"/>
              <w:vertAlign w:val="baseline"/>
              <w:rtl w:val="0"/>
            </w:rPr>
            <w:t xml:space="preserve">03</w:t>
          </w:r>
        </w:p>
      </w:tc>
      <w:tc>
        <w:tcPr>
          <w:vAlign w:val="center"/>
        </w:tcPr>
        <w:p w:rsidR="00000000" w:rsidDel="00000000" w:rsidP="00000000" w:rsidRDefault="00000000" w:rsidRPr="00000000" w14:paraId="000000C5">
          <w:pPr>
            <w:jc w:val="center"/>
            <w:rPr>
              <w:vertAlign w:val="baseline"/>
            </w:rPr>
          </w:pPr>
          <w:r w:rsidDel="00000000" w:rsidR="00000000" w:rsidRPr="00000000">
            <w:rPr>
              <w:vertAlign w:val="baseline"/>
              <w:rtl w:val="0"/>
            </w:rPr>
            <w:t xml:space="preserve">PAGE</w:t>
          </w:r>
        </w:p>
      </w:tc>
      <w:tc>
        <w:tcPr>
          <w:vAlign w:val="center"/>
        </w:tcPr>
        <w:p w:rsidR="00000000" w:rsidDel="00000000" w:rsidP="00000000" w:rsidRDefault="00000000" w:rsidRPr="00000000" w14:paraId="000000C6">
          <w:pPr>
            <w:jc w:val="center"/>
            <w:rPr>
              <w:vertAlign w:val="baseline"/>
            </w:rPr>
          </w:pPr>
          <w:r w:rsidDel="00000000" w:rsidR="00000000" w:rsidRPr="00000000">
            <w:rPr>
              <w:rFonts w:ascii="Gungsuh" w:cs="Gungsuh" w:eastAsia="Gungsuh" w:hAnsi="Gungsuh"/>
              <w:vertAlign w:val="baseline"/>
              <w:rtl w:val="0"/>
            </w:rPr>
            <w:t xml:space="preserve">第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3 頁</w:t>
          </w:r>
        </w:p>
      </w:tc>
    </w:tr>
  </w:tbl>
  <w:p w:rsidR="00000000" w:rsidDel="00000000" w:rsidP="00000000" w:rsidRDefault="00000000" w:rsidRPr="00000000" w14:paraId="000000C7">
    <w:pPr>
      <w:pBdr>
        <w:bottom w:color="000000" w:space="1" w:sz="4" w:val="single"/>
      </w:pBdr>
      <w:rP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13" w:hanging="113"/>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rFonts w:ascii="Times New Roman" w:cs="Times New Roman" w:eastAsia="Times New Roman" w:hAnsi="Times New Roman"/>
        <w:vertAlign w:val="baseline"/>
      </w:rPr>
    </w:lvl>
    <w:lvl w:ilvl="3">
      <w:start w:val="1"/>
      <w:numFmt w:val="decimal"/>
      <w:lvlText w:val="%1.%2.%3.%4"/>
      <w:lvlJc w:val="left"/>
      <w:pPr>
        <w:ind w:left="2554" w:hanging="707.9999999999998"/>
      </w:pPr>
      <w:rPr>
        <w:strike w:val="0"/>
        <w:color w:val="000000"/>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widowControl w:val="0"/>
      <w:jc w:val="center"/>
    </w:pPr>
    <w:rPr>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