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DFKai-SB" w:cs="DFKai-SB" w:eastAsia="DFKai-SB" w:hAnsi="DFKai-SB"/>
          <w:sz w:val="40"/>
          <w:szCs w:val="40"/>
        </w:rPr>
      </w:pPr>
      <w:r w:rsidDel="00000000" w:rsidR="00000000" w:rsidRPr="00000000">
        <w:rPr>
          <w:rFonts w:ascii="DFKai-SB" w:cs="DFKai-SB" w:eastAsia="DFKai-SB" w:hAnsi="DFKai-SB"/>
          <w:sz w:val="40"/>
          <w:szCs w:val="40"/>
          <w:rtl w:val="0"/>
        </w:rPr>
        <w:t xml:space="preserve">砂輪機定期檢查表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1310640</wp:posOffset>
            </wp:positionH>
            <wp:positionV relativeFrom="paragraph">
              <wp:posOffset>-235584</wp:posOffset>
            </wp:positionV>
            <wp:extent cx="3565525" cy="52578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5525" cy="5257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E005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0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砂輪切割機 / 樹八廠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  檢查日期：　　 年　　 月</w:t>
      </w:r>
    </w:p>
    <w:p w:rsidR="00000000" w:rsidDel="00000000" w:rsidP="00000000" w:rsidRDefault="00000000" w:rsidRPr="00000000" w14:paraId="00000004">
      <w:pPr>
        <w:spacing w:line="3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1"/>
        <w:tblW w:w="9971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4104"/>
        <w:gridCol w:w="1574"/>
        <w:gridCol w:w="707"/>
        <w:gridCol w:w="815"/>
        <w:gridCol w:w="899"/>
        <w:tblGridChange w:id="0">
          <w:tblGrid>
            <w:gridCol w:w="1872"/>
            <w:gridCol w:w="4104"/>
            <w:gridCol w:w="1574"/>
            <w:gridCol w:w="707"/>
            <w:gridCol w:w="815"/>
            <w:gridCol w:w="899"/>
          </w:tblGrid>
        </w:tblGridChange>
      </w:tblGrid>
      <w:tr>
        <w:trPr>
          <w:cantSplit w:val="1"/>
          <w:trHeight w:val="51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5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ind w:left="289" w:right="284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 　  查　   項   　目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 查 方 法</w:t>
            </w:r>
          </w:p>
        </w:tc>
        <w:tc>
          <w:tcPr>
            <w:gridSpan w:val="2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檢查結果</w:t>
            </w:r>
          </w:p>
        </w:tc>
        <w:tc>
          <w:tcPr>
            <w:vMerge w:val="restart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0A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1"/>
          <w:trHeight w:val="56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vertAlign w:val="baseline"/>
                <w:rtl w:val="0"/>
              </w:rPr>
              <w:t xml:space="preserve">作業開始前運轉一分鐘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vertAlign w:val="baseline"/>
                <w:rtl w:val="0"/>
              </w:rPr>
              <w:t xml:space="preserve">告知或標示操作者不得使用手套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vertAlign w:val="baseline"/>
                <w:rtl w:val="0"/>
              </w:rPr>
              <w:t xml:space="preserve">切割片（砂輪或研磨輪）更換後試運轉三分鐘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vertAlign w:val="baseline"/>
                <w:rtl w:val="0"/>
              </w:rPr>
              <w:t xml:space="preserve">護罩擋板是否完整。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vertAlign w:val="baseline"/>
                <w:rtl w:val="0"/>
              </w:rPr>
              <w:t xml:space="preserve">切割片（砂輪或研磨輪）有無破裂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電動機是否正常運轉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vertAlign w:val="baseline"/>
                <w:rtl w:val="0"/>
              </w:rPr>
              <w:t xml:space="preserve">機台及馬達是否接地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5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1.依勞安法第14條、勞安衛生自動檢查辦法第33條及第80條、職業安全衛生管理辦法第四章第33條、勞工安全衛生組織管理及自動檢查辦法。</w:t>
            </w:r>
          </w:p>
          <w:p w:rsidR="00000000" w:rsidDel="00000000" w:rsidP="00000000" w:rsidRDefault="00000000" w:rsidRPr="00000000" w14:paraId="0000003F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2.檢查結果“正常”打(V)，“異常”的打(×)，無此項目打(／)，異常時，請立即報修並送主管簽章。</w:t>
            </w:r>
          </w:p>
          <w:p w:rsidR="00000000" w:rsidDel="00000000" w:rsidP="00000000" w:rsidRDefault="00000000" w:rsidRPr="00000000" w14:paraId="00000040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3.每月10日前實施。</w:t>
            </w:r>
          </w:p>
          <w:p w:rsidR="00000000" w:rsidDel="00000000" w:rsidP="00000000" w:rsidRDefault="00000000" w:rsidRPr="00000000" w14:paraId="00000041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4.檢查記錄表格請放置設備旁。表格保存三年。</w:t>
            </w:r>
          </w:p>
        </w:tc>
      </w:tr>
    </w:tbl>
    <w:p w:rsidR="00000000" w:rsidDel="00000000" w:rsidP="00000000" w:rsidRDefault="00000000" w:rsidRPr="00000000" w14:paraId="00000046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     廠務：                                  檢查人員：</w:t>
      </w:r>
    </w:p>
    <w:sectPr>
      <w:pgSz w:h="16838" w:w="11906" w:orient="portrait"/>
      <w:pgMar w:bottom="899" w:top="899" w:left="1080" w:right="926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