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台灣福祉科技有限公司 勞動契約書</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914400</wp:posOffset>
            </wp:positionH>
            <wp:positionV relativeFrom="paragraph">
              <wp:posOffset>-114299</wp:posOffset>
            </wp:positionV>
            <wp:extent cx="476250" cy="409575"/>
            <wp:effectExtent b="0" l="0" r="0" t="0"/>
            <wp:wrapNone/>
            <wp:docPr descr="未命名 - 1" id="1" name="image1.jpg"/>
            <a:graphic>
              <a:graphicData uri="http://schemas.openxmlformats.org/drawingml/2006/picture">
                <pic:pic>
                  <pic:nvPicPr>
                    <pic:cNvPr descr="未命名 - 1" id="0" name="image1.jpg"/>
                    <pic:cNvPicPr preferRelativeResize="0"/>
                  </pic:nvPicPr>
                  <pic:blipFill>
                    <a:blip r:embed="rId6"/>
                    <a:srcRect b="0" l="0" r="0" t="0"/>
                    <a:stretch>
                      <a:fillRect/>
                    </a:stretch>
                  </pic:blipFill>
                  <pic:spPr>
                    <a:xfrm>
                      <a:off x="0" y="0"/>
                      <a:ext cx="476250" cy="40957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0"/>
        </w:tabs>
        <w:spacing w:after="0" w:before="0" w:line="240" w:lineRule="auto"/>
        <w:ind w:left="0" w:right="0" w:firstLine="54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立契約人</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0"/>
        </w:tabs>
        <w:spacing w:after="0" w:before="0" w:line="240" w:lineRule="auto"/>
        <w:ind w:left="0" w:right="0" w:firstLine="54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甲方：台灣福祉科技有限公司                      乙方：</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0"/>
        </w:tabs>
        <w:spacing w:after="0" w:before="0" w:line="240" w:lineRule="auto"/>
        <w:ind w:left="0" w:right="0" w:firstLine="54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雙方同意訂立契約條款如下，以資共同遵守履行：</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一、契約期間：</w:t>
        <w:br w:type="textWrapping"/>
        <w:t xml:space="preserve">    甲方自     年     月    日起僱用乙方，如須終止契約悉依勞動基準法及有關規定辦理。</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二、工作項目：</w:t>
        <w:br w:type="textWrapping"/>
        <w:t xml:space="preserve">    負責拓展甲方公司之相關業務，甲方公司一切內部相關規定亦為本約內容之一，乙方職稱由甲</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方依內部規定核定之。</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0"/>
        </w:tabs>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三、工作地點：</w:t>
        <w:br w:type="textWrapping"/>
        <w:t xml:space="preserve">乙方勞務提供之工作地點</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0"/>
        </w:tabs>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四、工資：</w:t>
        <w:br w:type="textWrapping"/>
        <w:t xml:space="preserve">（一）工資按月全額支付，甲方每月給付乙方薪資         元。</w:t>
        <w:br w:type="textWrapping"/>
        <w:t xml:space="preserve">（二）給付乙方工資，經乙方同意發放時間如下，如遇例假或休假則（□提前□順延）：</w:t>
        <w:br w:type="textWrapping"/>
        <w:t xml:space="preserve">      □每月一次：於每月＿5＿日發放（□前月□當月□次月）之工資。</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0"/>
        </w:tabs>
        <w:spacing w:after="0" w:before="0" w:line="240" w:lineRule="auto"/>
        <w:ind w:left="480" w:right="0" w:hanging="48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四、獎金：依甲方公司相關規定辦理，如有異動亦同。</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0"/>
        </w:tabs>
        <w:spacing w:after="0" w:before="0" w:line="240" w:lineRule="auto"/>
        <w:ind w:left="360" w:right="0" w:hanging="36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五、本約終止：如有下列情事之一，乙方同意甲方得於通知後逕行終止或解除本契約，如造成甲方損害，</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並依勞基法及民法相關規定辦理。</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（一）通緝有案未撤銷者。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（二）受有期徒刑以上刑責宣告確定，而未諭知緩刑或未核准易科罰金者。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（三）參加幫會，結黨營私、影響企業經營秩序，情節重大者。</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（四）品性頑劣，曾經其他公私營機構解僱者。</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（五）執行職務造成公司損失，無法勝任工作者。</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（六）受禁治產之宣告尚未撤銷者。</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（七）有票據退票記錄者。</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72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（八）拓展業務之績效未達公司所定標準者，或顯無工作績效、貢獻度低者。</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96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（九）公司之分公司或部門因業務緊縮、虧損、停業、分公司或部門間合併者。</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96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六、</w:t>
      </w: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員工保密與競業禁止約定</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160"/>
        </w:tabs>
        <w:spacing w:after="0" w:before="0" w:line="240" w:lineRule="auto"/>
        <w:ind w:left="840" w:right="0" w:hanging="480"/>
        <w:jc w:val="both"/>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乙方於僱佣期間不得違反競業禁止之規定，對於業務上所知悉之甲方公司業務秘密(以有商業價值者為限)負有保密責任。</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840" w:right="0" w:hanging="480"/>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在職期間競業禁止</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乙方於本合約存續期間，非經甲方書面同意，不得有下列行為：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234" w:before="0" w:line="240" w:lineRule="auto"/>
        <w:ind w:left="782" w:right="0" w:firstLine="12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1.以自己或他人名義從事或經營與甲方直接競爭之商品或服務。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234" w:before="0" w:line="240" w:lineRule="auto"/>
        <w:ind w:left="782" w:right="0" w:firstLine="12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2.以自己或他人名義投資（包括直接投資、間接投資或任何其他投資形式）與甲方業務相</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234" w:before="0" w:line="240" w:lineRule="auto"/>
        <w:ind w:left="782" w:right="0" w:firstLine="36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同或類似之事業。</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234" w:before="0" w:line="240" w:lineRule="auto"/>
        <w:ind w:left="782" w:right="0" w:firstLine="12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3.與甲方從事相同或類似業務之公司或事業擔任受僱人、受任人或顧問。</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160"/>
        </w:tabs>
        <w:spacing w:after="0" w:before="0" w:line="240" w:lineRule="auto"/>
        <w:ind w:left="840" w:right="0" w:hanging="480"/>
        <w:jc w:val="both"/>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在職期間之忠誠義務</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0"/>
        </w:tabs>
        <w:spacing w:after="0" w:before="0" w:line="240" w:lineRule="auto"/>
        <w:ind w:left="840" w:right="0" w:firstLine="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乙方於本合約存續期間，應忠實執行公司業務並盡善良管理人之注意義務，如有違反致公司受有損害者，負損害賠償責任。乙方若未經甲方之許可，收受甲方之經銷商、委託生產製造工廠等與甲方有交易及合作關係之第三者之回扣、贈與或其他無償給付，則甲方得不經預告終止甲乙雙方之僱佣契約。</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(四) 違反在職競業禁止之損害賠償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0"/>
        </w:tabs>
        <w:spacing w:after="0" w:before="0" w:line="240" w:lineRule="auto"/>
        <w:ind w:left="0" w:right="0" w:firstLine="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乙方違反在職期間之約定者，如經甲方以書面通知停止其行為而仍未改正時，乙方除應賠</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0"/>
        </w:tabs>
        <w:spacing w:after="0" w:before="0" w:line="240" w:lineRule="auto"/>
        <w:ind w:left="0" w:right="0" w:firstLine="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償甲方因此所受之損害外，並應另行支付相當於乙方二個月之薪資（以其離職前六個月平</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0"/>
        </w:tabs>
        <w:spacing w:after="0" w:before="0" w:line="240" w:lineRule="auto"/>
        <w:ind w:left="0" w:right="0" w:firstLine="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均薪資為準）之懲賠性違約金予甲方。</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(五) 離職期間競業禁止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0"/>
        </w:tabs>
        <w:spacing w:after="0" w:before="0" w:line="240" w:lineRule="auto"/>
        <w:ind w:left="0" w:right="0" w:firstLine="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乙方自甲方公司離職起二年期間內，除經甲方同意，不得從事與甲方公司相同性質或類型</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0"/>
        </w:tabs>
        <w:spacing w:after="0" w:before="0" w:line="240" w:lineRule="auto"/>
        <w:ind w:left="0" w:right="0" w:firstLine="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之工作。</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(六)違反離職競業禁止之損害賠償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0"/>
        </w:tabs>
        <w:spacing w:after="0" w:before="0" w:line="240" w:lineRule="auto"/>
        <w:ind w:left="0" w:right="0" w:firstLine="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乙方違反離職競業禁止之規定者如經甲方以書面通知停止其行為而仍未改正時，乙方應賠</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0"/>
        </w:tabs>
        <w:spacing w:after="0" w:before="0" w:line="240" w:lineRule="auto"/>
        <w:ind w:left="0" w:right="0" w:firstLine="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償甲方因此所受之損害。</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0"/>
        </w:tabs>
        <w:spacing w:after="0" w:before="0" w:line="240" w:lineRule="auto"/>
        <w:ind w:left="540" w:right="0" w:hanging="54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七、其他約定：</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0"/>
        </w:tabs>
        <w:spacing w:after="0" w:before="0" w:line="240" w:lineRule="auto"/>
        <w:ind w:left="0" w:right="0" w:firstLine="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(一)甲方應為乙方投保勞工保險及全民健康保險。</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0"/>
        </w:tabs>
        <w:spacing w:after="0" w:before="0" w:line="240" w:lineRule="auto"/>
        <w:ind w:left="0" w:right="0" w:firstLine="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(二)乙方因執行業務致生錯帳與客戶違約而造成甲方損失者，應由乙方負責賠償，甲方得自薪</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0"/>
        </w:tabs>
        <w:spacing w:after="0" w:before="0" w:line="240" w:lineRule="auto"/>
        <w:ind w:left="0" w:right="0" w:firstLine="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資金中按月扣抵，乙方離職前並應一次清償完畢。</w:t>
      </w:r>
    </w:p>
    <w:p w:rsidR="00000000" w:rsidDel="00000000" w:rsidP="00000000" w:rsidRDefault="00000000" w:rsidRPr="00000000" w14:paraId="000000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160"/>
        </w:tabs>
        <w:spacing w:after="0" w:before="0" w:line="240" w:lineRule="auto"/>
        <w:ind w:left="840" w:right="0" w:hanging="480"/>
        <w:jc w:val="both"/>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於僱佣期間內，甲方得依企業經營或業務需要、甲方公司相關規定或乙方之績效評核結</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0"/>
        </w:tabs>
        <w:spacing w:after="0" w:before="0" w:line="240" w:lineRule="auto"/>
        <w:ind w:left="840" w:right="0" w:firstLine="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果，依雙方協議後調整乙方之職等、工作地點、區域或其他等有關之事宜。</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八、附則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236"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（一） 本合約未盡事宜，得依雙方之合意或法令之變更，以書面修訂之。</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236"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(二)  合約書之成立、解釋及履行應以中華民國法律為準據法。甲乙雙方同意因本合約所生之</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236"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或與本合約書相關一切法律行動或訴訟，台灣地方法院有第一審管轄權</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0"/>
        </w:tabs>
        <w:spacing w:after="0" w:before="0" w:line="240" w:lineRule="auto"/>
        <w:ind w:left="0" w:right="0" w:firstLine="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(二） 本合約壹式貳份，雙方各執乙份為憑。</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60"/>
        </w:tabs>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甲  方：</w:t>
      </w:r>
      <w:r w:rsidDel="00000000" w:rsidR="00000000" w:rsidRPr="00000000">
        <w:rPr>
          <w:rFonts w:ascii="DFKai-SB" w:cs="DFKai-SB" w:eastAsia="DFKai-SB" w:hAnsi="DFKai-SB"/>
          <w:b w:val="0"/>
          <w:bCs w:val="0"/>
          <w:i w:val="0"/>
          <w:iCs w:val="0"/>
          <w:smallCaps w:val="0"/>
          <w:strike w:val="0"/>
          <w:color w:val="000000"/>
          <w:sz w:val="24"/>
          <w:szCs w:val="24"/>
          <w:u w:val="single"/>
          <w:shd w:fill="auto" w:val="clear"/>
          <w:vertAlign w:val="baseline"/>
          <w:rtl w:val="0"/>
        </w:rPr>
        <w:t xml:space="preserve">台灣福祉科技有限公司</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60"/>
        </w:tabs>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負責人：</w:t>
      </w:r>
      <w:r w:rsidDel="00000000" w:rsidR="00000000" w:rsidRPr="00000000">
        <w:rPr>
          <w:rFonts w:ascii="DFKai-SB" w:cs="DFKai-SB" w:eastAsia="DFKai-SB" w:hAnsi="DFKai-SB"/>
          <w:b w:val="0"/>
          <w:bCs w:val="0"/>
          <w:i w:val="0"/>
          <w:iCs w:val="0"/>
          <w:smallCaps w:val="0"/>
          <w:strike w:val="0"/>
          <w:color w:val="000000"/>
          <w:sz w:val="24"/>
          <w:szCs w:val="24"/>
          <w:u w:val="single"/>
          <w:shd w:fill="auto" w:val="clear"/>
          <w:vertAlign w:val="baseline"/>
          <w:rtl w:val="0"/>
        </w:rPr>
        <w:t xml:space="preserve">古嘉琳 </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60"/>
        </w:tabs>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singl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乙  方：</w:t>
      </w:r>
      <w:r w:rsidDel="00000000" w:rsidR="00000000" w:rsidRPr="00000000">
        <w:rPr>
          <w:rFonts w:ascii="DFKai-SB" w:cs="DFKai-SB" w:eastAsia="DFKai-SB" w:hAnsi="DFKai-SB"/>
          <w:b w:val="0"/>
          <w:bCs w:val="0"/>
          <w:i w:val="0"/>
          <w:iCs w:val="0"/>
          <w:smallCaps w:val="0"/>
          <w:strike w:val="0"/>
          <w:color w:val="000000"/>
          <w:sz w:val="24"/>
          <w:szCs w:val="24"/>
          <w:u w:val="single"/>
          <w:shd w:fill="auto" w:val="clear"/>
          <w:vertAlign w:val="baseline"/>
          <w:rtl w:val="0"/>
        </w:rPr>
        <w:t xml:space="preserve">                      (簽名)</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60"/>
        </w:tabs>
        <w:spacing w:after="240" w:before="0" w:line="240" w:lineRule="auto"/>
        <w:ind w:left="0" w:right="0" w:firstLine="0"/>
        <w:jc w:val="left"/>
        <w:rPr>
          <w:rFonts w:ascii="DFKai-SB" w:cs="DFKai-SB" w:eastAsia="DFKai-SB" w:hAnsi="DFKai-SB"/>
          <w:b w:val="0"/>
          <w:bCs w:val="0"/>
          <w:i w:val="0"/>
          <w:iCs w:val="0"/>
          <w:smallCaps w:val="0"/>
          <w:strike w:val="0"/>
          <w:color w:val="000000"/>
          <w:sz w:val="24"/>
          <w:szCs w:val="24"/>
          <w:u w:val="singl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身分證字號：</w:t>
      </w:r>
      <w:r w:rsidDel="00000000" w:rsidR="00000000" w:rsidRPr="00000000">
        <w:rPr>
          <w:rFonts w:ascii="DFKai-SB" w:cs="DFKai-SB" w:eastAsia="DFKai-SB" w:hAnsi="DFKai-SB"/>
          <w:b w:val="0"/>
          <w:bCs w:val="0"/>
          <w:i w:val="0"/>
          <w:iCs w:val="0"/>
          <w:smallCaps w:val="0"/>
          <w:strike w:val="0"/>
          <w:color w:val="000000"/>
          <w:sz w:val="24"/>
          <w:szCs w:val="24"/>
          <w:u w:val="singl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中華民國　 年　 月　 日</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0"/>
          <w:szCs w:val="20"/>
          <w:u w:val="none"/>
          <w:shd w:fill="auto" w:val="clear"/>
          <w:vertAlign w:val="baseline"/>
          <w:rtl w:val="0"/>
        </w:rPr>
        <w:t xml:space="preserve">105/12/01 V1 TB-S51</w:t>
      </w:r>
      <w:r w:rsidDel="00000000" w:rsidR="00000000" w:rsidRPr="00000000">
        <w:rPr>
          <w:rtl w:val="0"/>
        </w:rPr>
      </w:r>
    </w:p>
    <w:sectPr>
      <w:footerReference r:id="rId7" w:type="default"/>
      <w:pgSz w:h="16838" w:w="11906" w:orient="portrait"/>
      <w:pgMar w:bottom="249" w:top="567" w:left="851" w:right="851"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DFKai-SB"/>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40" w:hanging="480"/>
      </w:pPr>
      <w:rPr>
        <w:vertAlign w:val="baseline"/>
      </w:rPr>
    </w:lvl>
    <w:lvl w:ilvl="1">
      <w:start w:val="1"/>
      <w:numFmt w:val="decimal"/>
      <w:lvlText w:val="%2、"/>
      <w:lvlJc w:val="left"/>
      <w:pPr>
        <w:ind w:left="1320" w:hanging="480"/>
      </w:pPr>
      <w:rPr>
        <w:vertAlign w:val="baseline"/>
      </w:rPr>
    </w:lvl>
    <w:lvl w:ilvl="2">
      <w:start w:val="1"/>
      <w:numFmt w:val="lowerRoman"/>
      <w:lvlText w:val="%3."/>
      <w:lvlJc w:val="right"/>
      <w:pPr>
        <w:ind w:left="1800" w:hanging="480"/>
      </w:pPr>
      <w:rPr>
        <w:vertAlign w:val="baseline"/>
      </w:rPr>
    </w:lvl>
    <w:lvl w:ilvl="3">
      <w:start w:val="1"/>
      <w:numFmt w:val="decimal"/>
      <w:lvlText w:val="%4."/>
      <w:lvlJc w:val="left"/>
      <w:pPr>
        <w:ind w:left="2280" w:hanging="480"/>
      </w:pPr>
      <w:rPr>
        <w:vertAlign w:val="baseline"/>
      </w:rPr>
    </w:lvl>
    <w:lvl w:ilvl="4">
      <w:start w:val="1"/>
      <w:numFmt w:val="decimal"/>
      <w:lvlText w:val="%5、"/>
      <w:lvlJc w:val="left"/>
      <w:pPr>
        <w:ind w:left="2760" w:hanging="480"/>
      </w:pPr>
      <w:rPr>
        <w:vertAlign w:val="baseline"/>
      </w:rPr>
    </w:lvl>
    <w:lvl w:ilvl="5">
      <w:start w:val="1"/>
      <w:numFmt w:val="lowerRoman"/>
      <w:lvlText w:val="%6."/>
      <w:lvlJc w:val="right"/>
      <w:pPr>
        <w:ind w:left="3240" w:hanging="480"/>
      </w:pPr>
      <w:rPr>
        <w:vertAlign w:val="baseline"/>
      </w:rPr>
    </w:lvl>
    <w:lvl w:ilvl="6">
      <w:start w:val="1"/>
      <w:numFmt w:val="decimal"/>
      <w:lvlText w:val="%7."/>
      <w:lvlJc w:val="left"/>
      <w:pPr>
        <w:ind w:left="3720" w:hanging="480"/>
      </w:pPr>
      <w:rPr>
        <w:vertAlign w:val="baseline"/>
      </w:rPr>
    </w:lvl>
    <w:lvl w:ilvl="7">
      <w:start w:val="1"/>
      <w:numFmt w:val="decimal"/>
      <w:lvlText w:val="%8、"/>
      <w:lvlJc w:val="left"/>
      <w:pPr>
        <w:ind w:left="4200" w:hanging="480"/>
      </w:pPr>
      <w:rPr>
        <w:vertAlign w:val="baseline"/>
      </w:rPr>
    </w:lvl>
    <w:lvl w:ilvl="8">
      <w:start w:val="1"/>
      <w:numFmt w:val="lowerRoman"/>
      <w:lvlText w:val="%9."/>
      <w:lvlJc w:val="right"/>
      <w:pPr>
        <w:ind w:left="4680" w:hanging="480"/>
      </w:pPr>
      <w:rPr>
        <w:vertAlign w:val="baseline"/>
      </w:rPr>
    </w:lvl>
  </w:abstractNum>
  <w:abstractNum w:abstractNumId="2">
    <w:lvl w:ilvl="0">
      <w:start w:val="3"/>
      <w:numFmt w:val="decimal"/>
      <w:lvlText w:val="(%1)"/>
      <w:lvlJc w:val="left"/>
      <w:pPr>
        <w:ind w:left="840" w:hanging="48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