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台灣福祉復康巴士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1684655</wp:posOffset>
            </wp:positionH>
            <wp:positionV relativeFrom="paragraph">
              <wp:posOffset>49530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50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維修保養滿意度調查表</w:t>
      </w:r>
    </w:p>
    <w:p w:rsidR="00000000" w:rsidDel="00000000" w:rsidP="00000000" w:rsidRDefault="00000000" w:rsidRPr="00000000" w14:paraId="00000003">
      <w:pPr>
        <w:spacing w:line="50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Maintenance Satisfaction Survey Form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5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"/>
        <w:gridCol w:w="4654"/>
        <w:gridCol w:w="2533"/>
        <w:gridCol w:w="2012"/>
        <w:tblGridChange w:id="0">
          <w:tblGrid>
            <w:gridCol w:w="636"/>
            <w:gridCol w:w="4654"/>
            <w:gridCol w:w="2533"/>
            <w:gridCol w:w="2012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調查項目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分數(1~10)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備註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升降機使用品質整體之滿意度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側踏使用品質整體之滿意度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ind w:right="24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固定帶使用品質整體之滿意度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本次維修或更換零件報價之合理性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本次維修員是否準時到達之滿意度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本次故障狀況解說原因之清晰度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本次修完車時狀況解說之清晰度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本公司客服人員整體服務之滿意度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本公司維修人員整體服務之滿意度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本公司整體形象之滿意度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9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建議:</w:t>
            </w:r>
          </w:p>
          <w:p w:rsidR="00000000" w:rsidDel="00000000" w:rsidP="00000000" w:rsidRDefault="00000000" w:rsidRPr="00000000" w14:paraId="00000036">
            <w:pPr>
              <w:spacing w:line="30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00" w:lineRule="auto"/>
              <w:ind w:left="319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right="423"/>
        <w:jc w:val="right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39" w:top="1276" w:left="851" w:right="567" w:header="567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ngLiu"/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ngLiu" w:cs="MingLiu" w:eastAsia="MingLiu" w:hAnsi="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TB-P05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ngLiu" w:cs="MingLiu" w:eastAsia="MingLiu" w:hAnsi="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ngLiu" w:cs="MingLiu" w:eastAsia="MingLiu" w:hAnsi="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ngLiu" w:cs="MingLiu" w:eastAsia="MingLiu" w:hAnsi="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ngLiu" w:cs="MingLiu" w:eastAsia="MingLiu" w:hAnsi="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ngLiu" w:cs="MingLiu" w:eastAsia="MingLiu" w:hAnsi="MingLiu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