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1306"/>
        <w:gridCol w:w="111"/>
        <w:gridCol w:w="1379"/>
        <w:gridCol w:w="828"/>
        <w:gridCol w:w="662"/>
        <w:gridCol w:w="595"/>
        <w:gridCol w:w="897"/>
        <w:gridCol w:w="225"/>
        <w:gridCol w:w="1509"/>
        <w:gridCol w:w="1148"/>
        <w:tblGridChange w:id="0">
          <w:tblGrid>
            <w:gridCol w:w="1560"/>
            <w:gridCol w:w="1306"/>
            <w:gridCol w:w="111"/>
            <w:gridCol w:w="1379"/>
            <w:gridCol w:w="828"/>
            <w:gridCol w:w="662"/>
            <w:gridCol w:w="595"/>
            <w:gridCol w:w="897"/>
            <w:gridCol w:w="225"/>
            <w:gridCol w:w="1509"/>
            <w:gridCol w:w="11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塊規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SM11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±0.2mm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  </w:t>
            </w: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3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2019/02/27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CLV07615-109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2021/02/27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2021/05/27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CLL3545-110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2022/05/27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2022/07/28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CLL5623-111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2023/07/28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1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2023/9/28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CLL07762-112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2024/9/28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TAF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2019/12/9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工程部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土城廠遷移樹八廠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