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9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2"/>
        <w:gridCol w:w="1501"/>
        <w:gridCol w:w="1134"/>
        <w:gridCol w:w="850"/>
        <w:gridCol w:w="2410"/>
        <w:gridCol w:w="1134"/>
        <w:gridCol w:w="992"/>
        <w:gridCol w:w="706"/>
        <w:gridCol w:w="1169"/>
        <w:gridCol w:w="1102"/>
        <w:gridCol w:w="851"/>
        <w:gridCol w:w="708"/>
        <w:gridCol w:w="1950"/>
        <w:tblGridChange w:id="0">
          <w:tblGrid>
            <w:gridCol w:w="592"/>
            <w:gridCol w:w="1501"/>
            <w:gridCol w:w="1134"/>
            <w:gridCol w:w="850"/>
            <w:gridCol w:w="2410"/>
            <w:gridCol w:w="1134"/>
            <w:gridCol w:w="992"/>
            <w:gridCol w:w="706"/>
            <w:gridCol w:w="1169"/>
            <w:gridCol w:w="1102"/>
            <w:gridCol w:w="851"/>
            <w:gridCol w:w="708"/>
            <w:gridCol w:w="1950"/>
          </w:tblGrid>
        </w:tblGridChange>
      </w:tblGrid>
      <w:tr>
        <w:trPr>
          <w:cantSplit w:val="0"/>
          <w:tblHeader w:val="1"/>
        </w:trPr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工程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管理項目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管理方法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風險管理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利害關係人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作業標準/規格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檢查</w:t>
              <w:br w:type="textWrapping"/>
              <w:t xml:space="preserve">項目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擔當者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頻率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危害鑑別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嚴重性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後果 </w:t>
            </w:r>
            <w:r w:rsidDel="00000000" w:rsidR="00000000" w:rsidRPr="00000000">
              <w:rPr>
                <w:rFonts w:ascii="Script MT Bold" w:cs="Script MT Bold" w:eastAsia="Script MT Bold" w:hAnsi="Script MT Bold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機率</w:t>
            </w:r>
            <w:r w:rsidDel="00000000" w:rsidR="00000000" w:rsidRPr="00000000">
              <w:rPr>
                <w:rFonts w:ascii="Script MT Bold" w:cs="Script MT Bold" w:eastAsia="Script MT Bold" w:hAnsi="Script MT Bold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風險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等級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風險控管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風險等級≧</w:t>
            </w:r>
            <w:r w:rsidDel="00000000" w:rsidR="00000000" w:rsidRPr="00000000">
              <w:rPr>
                <w:rFonts w:ascii="Script MT Bold" w:cs="Script MT Bold" w:eastAsia="Script MT Bold" w:hAnsi="Script MT Bold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vertAlign w:val="baseline"/>
                <w:rtl w:val="0"/>
              </w:rPr>
              <w:t xml:space="preserve">級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原料進料檢驗</w:t>
              <w:br w:type="textWrapping"/>
              <w:t xml:space="preserve">(樹八廠、委外車輛原廠)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6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2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電動側踏板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機構件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5%/每批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尺寸不符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7E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2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配件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5%/每批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輪椅固定帶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7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車輛尾門內框改高廠(樹八廠)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車輛尾門內框改高</w:t>
              <w:br w:type="textWrapping"/>
              <w:t xml:space="preserve">作業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WP-T01載運輪椅車輛製程作業規範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WP-T02載運輪椅車輛製程作業規範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2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烤漆委外加工</w:t>
              <w:br w:type="textWrapping"/>
              <w:t xml:space="preserve">(委外加工廠)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供應商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烤漆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外觀不良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退回重工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內裝拆除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內裝</w:t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WP-T01載運輪椅車輛製程作業規範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WP-T02載運輪椅車輛製程作業規範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WP-T19載運輪椅車輛製程作業規範</w:t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WP-T21載運輪椅車輛製程作業規範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WP-T23載運輪椅車輛製程作業規範</w:t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WP-T25載運輪椅車輛製程作業規範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座位變更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載運輪椅車輛施工(樹八廠)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內裝</w:t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WP-T01載運輪椅車輛製程作業規範</w:t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WP-T02載運輪椅車輛製程作業規範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WP-T19載運輪椅車輛製程作業規範</w:t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WP-T21載運輪椅車輛製程作業規範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WP-T23載運輪椅車輛製程作業規範</w:t>
            </w:r>
          </w:p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WP-T25載運輪椅車輛製程作業規範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1.制定內裝作業SOP 及檢驗查檢表</w:t>
            </w:r>
          </w:p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電動側踏板安裝</w:t>
              <w:br w:type="textWrapping"/>
              <w:t xml:space="preserve">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側踏板作業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WP-T01載運輪椅車輛製程作業規範</w:t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WP-T02載運輪椅車輛製程作業規範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電動側踏板異常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升降機安裝(樹八廠)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WP-T01載運輪椅車輛製程作業規範</w:t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WP-T02載運輪椅車輛製程作業規範</w:t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WP-T19載運輪椅車輛製程作業規範</w:t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WP-T21載運輪椅車輛製程作業規範</w:t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WP-T23載運輪椅車輛製程作業規範</w:t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WP-T25載運輪椅車輛製程作業規範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1.制定安裝作業SOP 及升降機檢驗查檢表</w:t>
            </w:r>
          </w:p>
          <w:p w:rsidR="00000000" w:rsidDel="00000000" w:rsidP="00000000" w:rsidRDefault="00000000" w:rsidRPr="00000000" w14:paraId="0000012D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成品檢驗</w:t>
              <w:br w:type="textWrapping"/>
              <w:t xml:space="preserve">(樹八廠)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外觀/功能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成品異常客訴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ARTC測試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3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 供應商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初次</w:t>
            </w:r>
          </w:p>
          <w:p w:rsidR="00000000" w:rsidDel="00000000" w:rsidP="00000000" w:rsidRDefault="00000000" w:rsidRPr="00000000" w14:paraId="0000014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檢驗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WP-T01載運輪椅車輛製程作業規範</w:t>
            </w:r>
          </w:p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WP-T02載運輪椅車輛製程作業規範</w:t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WP-T19載運輪椅車輛製程作業規範</w:t>
            </w:r>
          </w:p>
          <w:p w:rsidR="00000000" w:rsidDel="00000000" w:rsidP="00000000" w:rsidRDefault="00000000" w:rsidRPr="00000000" w14:paraId="0000014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WP-T21載運輪椅車輛製程作業規範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WP-T23載運輪椅車輛製程作業規範</w:t>
            </w:r>
          </w:p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WP-T25載運輪椅車輛製程作業規範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功能、/法規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委外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5%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初步判定不合格需換發新材料</w:t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不合格修正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廠務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1.修正符合法規樣式並換發新材料，準備重新測試。</w:t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復查</w:t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檢測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委外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復查合格表示換發新材料處置措施OK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政府審查單位(監理站)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WC-T01檢驗規範</w:t>
              <w:br w:type="textWrapping"/>
              <w:t xml:space="preserve">WP-T01載運輪椅車輛製程作業規範</w:t>
            </w:r>
          </w:p>
          <w:p w:rsidR="00000000" w:rsidDel="00000000" w:rsidP="00000000" w:rsidRDefault="00000000" w:rsidRPr="00000000" w14:paraId="0000017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WP-T02載運輪椅車輛製程作業規範</w:t>
            </w:r>
          </w:p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WP-T19載運輪椅車輛製程作業規範</w:t>
            </w:r>
          </w:p>
          <w:p w:rsidR="00000000" w:rsidDel="00000000" w:rsidP="00000000" w:rsidRDefault="00000000" w:rsidRPr="00000000" w14:paraId="00000172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WP-T21載運輪椅車輛製程作業規範</w:t>
            </w:r>
          </w:p>
          <w:p w:rsidR="00000000" w:rsidDel="00000000" w:rsidP="00000000" w:rsidRDefault="00000000" w:rsidRPr="00000000" w14:paraId="00000173">
            <w:pPr>
              <w:jc w:val="center"/>
              <w:rPr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WP-T23載運輪椅車輛製程作業規範</w:t>
            </w:r>
          </w:p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vertAlign w:val="baseline"/>
                <w:rtl w:val="0"/>
              </w:rPr>
              <w:t xml:space="preserve">WP-T25載運輪椅車輛製程作業規範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功能/法規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委外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1.制定安裝作業SOP 及升降機檢驗查檢表</w:t>
            </w:r>
          </w:p>
          <w:p w:rsidR="00000000" w:rsidDel="00000000" w:rsidP="00000000" w:rsidRDefault="00000000" w:rsidRPr="00000000" w14:paraId="0000017D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2.落實SOP及檢驗訓練</w:t>
            </w:r>
          </w:p>
        </w:tc>
      </w:tr>
    </w:tbl>
    <w:p w:rsidR="00000000" w:rsidDel="00000000" w:rsidP="00000000" w:rsidRDefault="00000000" w:rsidRPr="00000000" w14:paraId="0000017E">
      <w:pPr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備註：風險管理採取ISO 31010：2009 風險評鑑技術 之4 x 4風險矩陣法鑑別危害。</w:t>
        <w:br w:type="textWrapping"/>
        <w:t xml:space="preserve">      嚴重性後果 (S)：1 ~ 4，越嚴重給分越高；危害發生機率 (P)：1 ~ 4，發生機率越多給分越高。</w:t>
        <w:br w:type="textWrapping"/>
      </w:r>
    </w:p>
    <w:p w:rsidR="00000000" w:rsidDel="00000000" w:rsidP="00000000" w:rsidRDefault="00000000" w:rsidRPr="00000000" w14:paraId="0000017F">
      <w:pPr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製表日期：       製表者：            審核：</w:t>
      </w:r>
    </w:p>
    <w:p w:rsidR="00000000" w:rsidDel="00000000" w:rsidP="00000000" w:rsidRDefault="00000000" w:rsidRPr="00000000" w14:paraId="00000181">
      <w:pPr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品質風險評估標準：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嚴重度：區分為四級，如表一所示。可能性：區分為四級，如表二所示。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表一. 嚴重度之分級基準                                                  表二. 可能性之分級基準</w:t>
      </w:r>
    </w:p>
    <w:tbl>
      <w:tblPr>
        <w:tblStyle w:val="Table2"/>
        <w:tblW w:w="6468.0" w:type="dxa"/>
        <w:jc w:val="left"/>
        <w:tblInd w:w="4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8"/>
        <w:gridCol w:w="842"/>
        <w:gridCol w:w="4908"/>
        <w:tblGridChange w:id="0">
          <w:tblGrid>
            <w:gridCol w:w="718"/>
            <w:gridCol w:w="842"/>
            <w:gridCol w:w="490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85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等級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判斷依據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 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重大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其品質事件可能造成客戶極度不滿意，並造成組織商譽之重大影響(如產品召回或下架)。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高度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其品質事件可能造成客戶嚴重不滿意，並將整批產品退貨。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S2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中度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其品質事件可能造成客戶不滿意，其品質事件可能造成客戶將少部分產品退換貨。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輕度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其品質事件可能造成客戶輕微不滿，但不至於將產品退貨。</w:t>
            </w:r>
          </w:p>
        </w:tc>
      </w:tr>
    </w:tbl>
    <w:p w:rsidR="00000000" w:rsidDel="00000000" w:rsidP="00000000" w:rsidRDefault="00000000" w:rsidRPr="00000000" w14:paraId="0000019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7551" w:tblpY="0"/>
        <w:tblW w:w="7331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6"/>
        <w:gridCol w:w="1287"/>
        <w:gridCol w:w="5299"/>
        <w:tblGridChange w:id="0">
          <w:tblGrid>
            <w:gridCol w:w="746"/>
            <w:gridCol w:w="1287"/>
            <w:gridCol w:w="529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5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ind w:left="240" w:firstLine="0"/>
              <w:jc w:val="right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發生之可能性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極可能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每年10次（含）以上；</w:t>
            </w:r>
          </w:p>
          <w:p w:rsidR="00000000" w:rsidDel="00000000" w:rsidP="00000000" w:rsidRDefault="00000000" w:rsidRPr="00000000" w14:paraId="0000019B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在製程、活動或服務之生命週期內可能會發生10次以上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較有可能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每年5-10次；</w:t>
            </w:r>
          </w:p>
          <w:p w:rsidR="00000000" w:rsidDel="00000000" w:rsidP="00000000" w:rsidRDefault="00000000" w:rsidRPr="00000000" w14:paraId="0000019F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在製程、活動或服務之生命週期內可能會發生5-10次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每年5次以下；</w:t>
            </w:r>
          </w:p>
          <w:p w:rsidR="00000000" w:rsidDel="00000000" w:rsidP="00000000" w:rsidRDefault="00000000" w:rsidRPr="00000000" w14:paraId="000001A3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在製程、活動或服務之生命週期內可能會發生5次以下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不太可能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每年低於1次；</w:t>
            </w:r>
          </w:p>
          <w:p w:rsidR="00000000" w:rsidDel="00000000" w:rsidP="00000000" w:rsidRDefault="00000000" w:rsidRPr="00000000" w14:paraId="000001A7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vertAlign w:val="baseline"/>
                <w:rtl w:val="0"/>
              </w:rPr>
              <w:t xml:space="preserve">在製程、活動或服務之生命週期內不太會發生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風險等級：區分為五級，如表三所示，依據嚴重度與可能性等級標準，進行風險等級之分類及風險控制規劃。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表三. 風險等級之分級基準</w:t>
      </w:r>
    </w:p>
    <w:tbl>
      <w:tblPr>
        <w:tblStyle w:val="Table4"/>
        <w:tblW w:w="82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"/>
        <w:gridCol w:w="1419"/>
        <w:gridCol w:w="1561"/>
        <w:gridCol w:w="1561"/>
        <w:gridCol w:w="1561"/>
        <w:gridCol w:w="1561"/>
        <w:tblGridChange w:id="0">
          <w:tblGrid>
            <w:gridCol w:w="629"/>
            <w:gridCol w:w="1419"/>
            <w:gridCol w:w="1561"/>
            <w:gridCol w:w="1561"/>
            <w:gridCol w:w="1561"/>
            <w:gridCol w:w="1561"/>
          </w:tblGrid>
        </w:tblGridChange>
      </w:tblGrid>
      <w:tr>
        <w:trPr>
          <w:cantSplit w:val="1"/>
          <w:trHeight w:val="45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可能性等級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P1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Rule="auto"/>
              <w:ind w:left="98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嚴重度等級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S4</w:t>
            </w:r>
          </w:p>
        </w:tc>
        <w:tc>
          <w:tcPr>
            <w:shd w:fill="f05030" w:val="clear"/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S3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C0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C1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S2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Rule="auto"/>
              <w:ind w:left="24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S1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Rule="auto"/>
              <w:ind w:left="240" w:firstLine="0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67" w:top="1135" w:left="993" w:right="962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  <w:font w:name="Times New Roman"/>
  <w:font w:name="Arial"/>
  <w:font w:name="Script MT Bold"/>
  <w:font w:name="華康行書體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tabs>
        <w:tab w:val="left" w:leader="none" w:pos="8520"/>
      </w:tabs>
      <w:ind w:right="-1"/>
      <w:jc w:val="right"/>
      <w:rPr>
        <w:color w:val="00000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2024/03/25 V04. WO-S01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2819400</wp:posOffset>
          </wp:positionH>
          <wp:positionV relativeFrom="paragraph">
            <wp:posOffset>17145</wp:posOffset>
          </wp:positionV>
          <wp:extent cx="457200" cy="39306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3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風險管理表</w:t>
    </w:r>
  </w:p>
  <w:p w:rsidR="00000000" w:rsidDel="00000000" w:rsidP="00000000" w:rsidRDefault="00000000" w:rsidRPr="00000000" w14:paraId="000001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載運輪椅車輛(輪椅升降台用)</w:t>
    </w:r>
  </w:p>
  <w:p w:rsidR="00000000" w:rsidDel="00000000" w:rsidP="00000000" w:rsidRDefault="00000000" w:rsidRPr="00000000" w14:paraId="000001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(Risk Management Table-Wheelchair Accessible Vehicle-LIFT)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