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載運輪椅使用者車輛銲接規範</w:t>
            </w:r>
          </w:p>
        </w:tc>
      </w:tr>
      <w:tr>
        <w:trPr>
          <w:cantSplit w:val="0"/>
          <w:trHeight w:val="472" w:hRule="atLeast"/>
          <w:tblHeader w:val="0"/>
        </w:trPr>
        <w:tc>
          <w:tcP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廠務單位</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發行日期</w:t>
            </w:r>
          </w:p>
        </w:tc>
        <w:tc>
          <w:tcP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制修訂內容</w:t>
            </w:r>
          </w:p>
        </w:tc>
        <w:tc>
          <w:tcP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修訂頁次</w:t>
            </w:r>
          </w:p>
        </w:tc>
        <w:tc>
          <w:tcP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版本</w:t>
            </w:r>
          </w:p>
        </w:tc>
      </w:tr>
      <w:tr>
        <w:trPr>
          <w:cantSplit w:val="0"/>
          <w:tblHeader w:val="0"/>
        </w:trPr>
        <w:tc>
          <w:tcPr>
            <w:vAlign w:val="center"/>
          </w:tcPr>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2018/2/1</w:t>
            </w:r>
          </w:p>
        </w:tc>
        <w:tc>
          <w:tcP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初版</w:t>
            </w:r>
          </w:p>
        </w:tc>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w:t>
            </w:r>
          </w:p>
        </w:tc>
      </w:tr>
      <w:tr>
        <w:trPr>
          <w:cantSplit w:val="0"/>
          <w:tblHeader w:val="0"/>
        </w:trPr>
        <w:tc>
          <w:tcPr>
            <w:vAlign w:val="center"/>
          </w:tcPr>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2020/02/15</w:t>
            </w:r>
          </w:p>
        </w:tc>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增加1.2.3, 1.4.2(2)</w:t>
            </w:r>
          </w:p>
        </w:tc>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pp01</w:t>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02</w:t>
            </w:r>
          </w:p>
        </w:tc>
      </w:tr>
      <w:tr>
        <w:trPr>
          <w:cantSplit w:val="0"/>
          <w:tblHeader w:val="0"/>
        </w:trPr>
        <w:tc>
          <w:tcPr>
            <w:vAlign w:val="center"/>
          </w:tcPr>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   行</w:t>
            </w:r>
          </w:p>
        </w:tc>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核    准</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    查</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通則</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本章概要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說明適用於一般銲接工作之材料、施工及檢驗等相關規定。</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適用產品：</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載運輪椅使用車輛(活動式坡道)–STAREX</w:t>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沐浴車–ZINGER, DELICA</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ff0000"/>
          <w:sz w:val="24"/>
          <w:szCs w:val="24"/>
          <w:u w:val="none"/>
          <w:shd w:fill="auto" w:val="clear"/>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載運輪椅使用車輛(活動式坡道)–TOYOTA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工作範圍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本規範接受的任何方法生產的銲接裝配件和結構的製作和安裝，必須遵守本章所有適用條款。</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相關準則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中華民國國家標準（CNS）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tab/>
        <w:t xml:space="preserve">CNS 13021鋼結構銲道目視檢測法 </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日本材料試驗協會（JIS）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tab/>
        <w:t xml:space="preserve">JIS SUS304 304不鏽鋼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tab/>
        <w:t xml:space="preserve">JIS SS41</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軋</w:t>
      </w:r>
      <w:r w:rsidDel="00000000" w:rsidR="00000000" w:rsidRPr="00000000">
        <w:rPr>
          <w:rFonts w:ascii="DFKai-SB" w:cs="DFKai-SB" w:eastAsia="DFKai-SB" w:hAnsi="DFKai-SB"/>
          <w:b w:val="0"/>
          <w:bCs w:val="0"/>
          <w:i w:val="0"/>
          <w:iCs w:val="0"/>
          <w:smallCaps w:val="0"/>
          <w:strike w:val="0"/>
          <w:color w:val="ff0000"/>
          <w:sz w:val="24"/>
          <w:szCs w:val="24"/>
          <w:highlight w:val="white"/>
          <w:u w:val="none"/>
          <w:vertAlign w:val="baseline"/>
          <w:rtl w:val="0"/>
        </w:rPr>
        <w:t xml:space="preserve">鋼</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美國銲接工程協會（AWS）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tab/>
        <w:t xml:space="preserve">AWS ER70S-6 </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實心銲線</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tab/>
        <w:t xml:space="preserve">AWS D1.1 鋼結構銲接規範</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現場環境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氣溫在0℃以下時不得銲接。雨天或濕度過大時不得銲接，即使在屋內亦應先確認銲接部位之表面及裡面無殘存水份時，才可實施銲接工作。銲接時須有適當之防護設施，如銲道表面風速超過8km/hr時，除非有妥善之防護設施經認可，否則不得銲接。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產品</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銲接材料與施工概述</w:t>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銲條(線)或銲線-銲藥組合的証書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當研發要求時，承包商或製造商必須提供証書，以証實銲條(線)或銲線-銲藥組合符合類別要求。</w:t>
      </w:r>
    </w:p>
    <w:p w:rsidR="00000000" w:rsidDel="00000000" w:rsidP="00000000" w:rsidRDefault="00000000" w:rsidRPr="00000000" w14:paraId="0000006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類別的適配性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銲條(線)類別和直徑、電弧張度、電壓以及電流必須適合於材料厚度、開槽類型、銲接位置和伴隨作業所出現的其他情況。銲接電流值必須在銲條(線)製造商推薦的範圍之內。</w:t>
      </w:r>
    </w:p>
    <w:p w:rsidR="00000000" w:rsidDel="00000000" w:rsidP="00000000" w:rsidRDefault="00000000" w:rsidRPr="00000000" w14:paraId="000000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保護氣體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用作保護的氣體或混合氣體必須符合AWS A.32銲接保護氣體規範 要求。如工程師要求，承包商或製造商必須提供氣體製造商的証明書，以証實該氣體或混合氣體符合AWS A5.32 對露點的要求。如氣體在銲接現場混合，則必須使用合適的儀器使氣體按比例混合均勻。各種氣體在混合氣體中的比率必須符合WPS的要求。</w:t>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貯 存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從原包裝中取出的銲接耗材必須保護和貯存，以便銲接性能不受影響。</w:t>
      </w:r>
    </w:p>
    <w:p w:rsidR="00000000" w:rsidDel="00000000" w:rsidP="00000000" w:rsidRDefault="00000000" w:rsidRPr="00000000" w14:paraId="0000006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狀 態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銲條(線)必須保持乾燥並處於適合待用狀態。</w:t>
        <w:br w:type="textWrapping"/>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銲接材料與施工總表</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所有銲接施工及材料,皆須依照設計圖面施作，如表所示。</w:t>
      </w:r>
    </w:p>
    <w:p w:rsidR="00000000" w:rsidDel="00000000" w:rsidP="00000000" w:rsidRDefault="00000000" w:rsidRPr="00000000" w14:paraId="000000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載運輪椅使用車輛(活動式坡道)–STAREX</w:t>
      </w:r>
    </w:p>
    <w:tbl>
      <w:tblPr>
        <w:tblStyle w:val="Table4"/>
        <w:tblW w:w="10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1701"/>
        <w:gridCol w:w="1624"/>
        <w:gridCol w:w="20"/>
        <w:gridCol w:w="1672"/>
        <w:gridCol w:w="1638"/>
        <w:gridCol w:w="1708"/>
        <w:tblGridChange w:id="0">
          <w:tblGrid>
            <w:gridCol w:w="2093"/>
            <w:gridCol w:w="1701"/>
            <w:gridCol w:w="1624"/>
            <w:gridCol w:w="20"/>
            <w:gridCol w:w="1672"/>
            <w:gridCol w:w="1638"/>
            <w:gridCol w:w="1708"/>
          </w:tblGrid>
        </w:tblGridChange>
      </w:tblGrid>
      <w:tr>
        <w:trPr>
          <w:cantSplit w:val="0"/>
          <w:tblHeader w:val="0"/>
        </w:trPr>
        <w:tc>
          <w:tcPr>
            <w:shd w:fill="d9d9d9"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組件</w:t>
            </w:r>
          </w:p>
        </w:tc>
        <w:tc>
          <w:tcPr>
            <w:shd w:fill="d9d9d9"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後橫樑</w:t>
            </w:r>
          </w:p>
        </w:tc>
        <w:tc>
          <w:tcPr>
            <w:shd w:fill="d9d9d9" w:val="cle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內斜坡板</w:t>
            </w:r>
          </w:p>
        </w:tc>
        <w:tc>
          <w:tcPr>
            <w:gridSpan w:val="3"/>
            <w:shd w:fill="d9d9d9"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後橫樑對接車體</w:t>
            </w:r>
          </w:p>
        </w:tc>
        <w:tc>
          <w:tcPr>
            <w:shd w:fill="d9d9d9" w:val="cle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內斜坡板對接車體</w:t>
            </w:r>
          </w:p>
        </w:tc>
      </w:tr>
      <w:tr>
        <w:trPr>
          <w:cantSplit w:val="0"/>
          <w:tblHeader w:val="0"/>
        </w:trPr>
        <w:tc>
          <w:tcPr>
            <w:shd w:fill="d9d9d9"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分件</w:t>
            </w:r>
          </w:p>
        </w:tc>
        <w:tc>
          <w:tcP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後橫樑本體</w:t>
            </w:r>
          </w:p>
        </w:tc>
        <w:tc>
          <w:tcPr>
            <w:gridSpan w:val="2"/>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橫直樑補強</w:t>
            </w:r>
          </w:p>
        </w:tc>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內斜坡板本體</w:t>
            </w:r>
          </w:p>
        </w:tc>
        <w:tc>
          <w:tcP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後橫樑與車體銲接</w:t>
            </w:r>
          </w:p>
        </w:tc>
        <w:tc>
          <w:tcP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內斜坡板與車體銲接/補強</w:t>
            </w:r>
          </w:p>
        </w:tc>
      </w:tr>
      <w:tr>
        <w:trPr>
          <w:cantSplit w:val="0"/>
          <w:tblHeader w:val="0"/>
        </w:trPr>
        <w:tc>
          <w:tcPr>
            <w:shd w:fill="d9d9d9"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銲接方法</w:t>
            </w:r>
          </w:p>
        </w:tc>
        <w:tc>
          <w:tcP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CO2銲接</w:t>
            </w:r>
          </w:p>
        </w:tc>
        <w:tc>
          <w:tcPr>
            <w:gridSpan w:val="2"/>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氬銲</w:t>
            </w:r>
          </w:p>
        </w:tc>
        <w:tc>
          <w:tcP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氬銲</w:t>
            </w:r>
          </w:p>
        </w:tc>
        <w:tc>
          <w:tcP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CO2銲接</w:t>
            </w:r>
          </w:p>
        </w:tc>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CO2銲接</w:t>
            </w:r>
          </w:p>
        </w:tc>
      </w:tr>
      <w:tr>
        <w:trPr>
          <w:cantSplit w:val="0"/>
          <w:tblHeader w:val="0"/>
        </w:trPr>
        <w:tc>
          <w:tcPr>
            <w:shd w:fill="d9d9d9"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母材材</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料</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SS41低碳鋼(鐵)</w:t>
            </w:r>
          </w:p>
        </w:tc>
        <w:tc>
          <w:tcPr>
            <w:gridSpan w:val="2"/>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SUS304</w:t>
              <w:br w:type="textWrapping"/>
              <w:t xml:space="preserve">不鏽鋼</w:t>
            </w:r>
          </w:p>
        </w:tc>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SUS304</w:t>
              <w:br w:type="textWrapping"/>
              <w:t xml:space="preserve">不鏽鋼</w:t>
            </w:r>
          </w:p>
        </w:tc>
        <w:tc>
          <w:tcP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SS41低碳鋼(鐵)</w:t>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SUS304</w:t>
              <w:br w:type="textWrapping"/>
              <w:t xml:space="preserve">不鏽鋼</w:t>
            </w:r>
          </w:p>
        </w:tc>
      </w:tr>
      <w:tr>
        <w:trPr>
          <w:cantSplit w:val="0"/>
          <w:tblHeader w:val="0"/>
        </w:trPr>
        <w:tc>
          <w:tcPr>
            <w:shd w:fill="d9d9d9"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抗拉強度</w:t>
            </w:r>
          </w:p>
        </w:tc>
        <w:tc>
          <w:tcP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402N/mm2</w:t>
            </w:r>
          </w:p>
        </w:tc>
        <w:tc>
          <w:tcPr>
            <w:gridSpan w:val="2"/>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520N/mm2</w:t>
            </w:r>
          </w:p>
        </w:tc>
        <w:tc>
          <w:tcP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520N/mm2</w:t>
            </w:r>
          </w:p>
        </w:tc>
        <w:tc>
          <w:tcP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 N/mm2</w:t>
            </w:r>
          </w:p>
        </w:tc>
        <w:tc>
          <w:tcP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520N/mm2</w:t>
            </w:r>
          </w:p>
        </w:tc>
      </w:tr>
      <w:tr>
        <w:trPr>
          <w:cantSplit w:val="0"/>
          <w:tblHeader w:val="0"/>
        </w:trPr>
        <w:tc>
          <w:tcPr>
            <w:shd w:fill="d9d9d9"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降伏強度</w:t>
            </w:r>
          </w:p>
        </w:tc>
        <w:tc>
          <w:tcP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N/mm2 </w:t>
            </w:r>
          </w:p>
        </w:tc>
        <w:tc>
          <w:tcPr>
            <w:gridSpan w:val="2"/>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205N/mm2</w:t>
            </w:r>
          </w:p>
        </w:tc>
        <w:tc>
          <w:tcP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205N/mm2</w:t>
            </w:r>
          </w:p>
        </w:tc>
        <w:tc>
          <w:tcP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245N/mm2</w:t>
            </w:r>
          </w:p>
        </w:tc>
        <w:tc>
          <w:tcP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205N/mm2</w:t>
            </w:r>
          </w:p>
        </w:tc>
      </w:tr>
      <w:tr>
        <w:trPr>
          <w:cantSplit w:val="0"/>
          <w:tblHeader w:val="0"/>
        </w:trPr>
        <w:tc>
          <w:tcPr>
            <w:shd w:fill="d9d9d9"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伸長率</w:t>
            </w:r>
          </w:p>
        </w:tc>
        <w:tc>
          <w:tcP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40%/min</w:t>
            </w:r>
          </w:p>
        </w:tc>
        <w:tc>
          <w:tcP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40%/min</w:t>
            </w:r>
          </w:p>
        </w:tc>
        <w:tc>
          <w:tcP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40%/min</w:t>
            </w:r>
          </w:p>
        </w:tc>
      </w:tr>
      <w:tr>
        <w:trPr>
          <w:cantSplit w:val="0"/>
          <w:tblHeader w:val="0"/>
        </w:trPr>
        <w:tc>
          <w:tcPr>
            <w:shd w:fill="d9d9d9"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硬度</w:t>
            </w:r>
          </w:p>
        </w:tc>
        <w:tc>
          <w:tcP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Max.90 (HRB)</w:t>
            </w:r>
          </w:p>
        </w:tc>
        <w:tc>
          <w:tcP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Max.90 (HRB)</w:t>
            </w:r>
          </w:p>
        </w:tc>
        <w:tc>
          <w:tcP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Max.90 (HRB)</w:t>
            </w:r>
          </w:p>
        </w:tc>
      </w:tr>
      <w:tr>
        <w:trPr>
          <w:cantSplit w:val="0"/>
          <w:tblHeader w:val="0"/>
        </w:trPr>
        <w:tc>
          <w:tcPr>
            <w:shd w:fill="d9d9d9" w:val="cle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母材厚度（mm）</w:t>
            </w:r>
          </w:p>
        </w:tc>
        <w:tc>
          <w:tcP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gridSpan w:val="2"/>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shd w:fill="d9d9d9"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氣體工作壓力(kg/cm2)</w:t>
            </w:r>
          </w:p>
        </w:tc>
        <w:tc>
          <w:tcP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w:t>
            </w:r>
          </w:p>
        </w:tc>
        <w:tc>
          <w:tcPr>
            <w:gridSpan w:val="2"/>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w:t>
            </w:r>
          </w:p>
        </w:tc>
        <w:tc>
          <w:tcP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w:t>
            </w:r>
          </w:p>
        </w:tc>
        <w:tc>
          <w:tcP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shd w:fill="d9d9d9"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喉深(mm)</w:t>
            </w:r>
          </w:p>
        </w:tc>
        <w:tc>
          <w:tcP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gridSpan w:val="2"/>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shd w:fill="d9d9d9"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填料材種類</w:t>
            </w:r>
          </w:p>
        </w:tc>
        <w:tc>
          <w:tcP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AWS ER70S-6</w:t>
            </w:r>
          </w:p>
        </w:tc>
        <w:tc>
          <w:tcPr>
            <w:gridSpan w:val="2"/>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KTS-308L</w:t>
            </w:r>
          </w:p>
        </w:tc>
        <w:tc>
          <w:tcP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KTS-308L</w:t>
            </w:r>
          </w:p>
        </w:tc>
        <w:tc>
          <w:tcP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ER70S-6</w:t>
            </w:r>
          </w:p>
        </w:tc>
        <w:tc>
          <w:tcP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ER70S-6</w:t>
            </w:r>
          </w:p>
        </w:tc>
      </w:tr>
      <w:tr>
        <w:trPr>
          <w:cantSplit w:val="0"/>
          <w:tblHeader w:val="0"/>
        </w:trPr>
        <w:tc>
          <w:tcPr>
            <w:shd w:fill="d9d9d9"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填料材尺度</w:t>
            </w:r>
          </w:p>
        </w:tc>
        <w:tc>
          <w:tcP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1.6</w:t>
            </w:r>
          </w:p>
        </w:tc>
        <w:tc>
          <w:tcPr>
            <w:gridSpan w:val="2"/>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blHeader w:val="0"/>
        </w:trPr>
        <w:tc>
          <w:tcPr>
            <w:shd w:fill="d9d9d9"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遮護氣體</w:t>
            </w:r>
          </w:p>
        </w:tc>
        <w:tc>
          <w:tcP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c>
          <w:tcPr>
            <w:gridSpan w:val="2"/>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氬氣</w:t>
            </w:r>
          </w:p>
        </w:tc>
        <w:tc>
          <w:tcP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氬氣</w:t>
            </w:r>
          </w:p>
        </w:tc>
        <w:tc>
          <w:tcP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c>
          <w:tcP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r>
      <w:tr>
        <w:trPr>
          <w:cantSplit w:val="0"/>
          <w:tblHeader w:val="0"/>
        </w:trPr>
        <w:tc>
          <w:tcPr>
            <w:shd w:fill="d9d9d9"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銲接電流種類/極性</w:t>
            </w:r>
          </w:p>
        </w:tc>
        <w:tc>
          <w:tcP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直流/負極</w:t>
            </w:r>
          </w:p>
        </w:tc>
        <w:tc>
          <w:tcPr>
            <w:gridSpan w:val="2"/>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直流/負極</w:t>
            </w:r>
          </w:p>
        </w:tc>
      </w:tr>
      <w:tr>
        <w:trPr>
          <w:cantSplit w:val="0"/>
          <w:tblHeader w:val="0"/>
        </w:trPr>
        <w:tc>
          <w:tcPr>
            <w:shd w:fill="d9d9d9" w:val="cle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銲接姿勢</w:t>
            </w:r>
          </w:p>
        </w:tc>
        <w:tc>
          <w:tcP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平銲</w:t>
            </w:r>
          </w:p>
        </w:tc>
        <w:tc>
          <w:tcPr>
            <w:gridSpan w:val="2"/>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平銲</w:t>
            </w:r>
          </w:p>
        </w:tc>
        <w:tc>
          <w:tcP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平銲</w:t>
            </w:r>
          </w:p>
        </w:tc>
        <w:tc>
          <w:tcP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立銲</w:t>
            </w:r>
          </w:p>
        </w:tc>
        <w:tc>
          <w:tcP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仰銲</w:t>
            </w:r>
          </w:p>
        </w:tc>
      </w:tr>
      <w:tr>
        <w:trPr>
          <w:cantSplit w:val="0"/>
          <w:tblHeader w:val="0"/>
        </w:trPr>
        <w:tc>
          <w:tcPr>
            <w:shd w:fill="d9d9d9"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檢驗方式</w:t>
            </w:r>
          </w:p>
        </w:tc>
        <w:tc>
          <w:tcPr>
            <w:gridSpan w:val="6"/>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檢驗方式採目視檢測法，檢驗結果「</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所有銲接步驟皆符合銲接規範」。</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1:銲接完成後，塗裝前，銲道及其鄰近母材至少25mm範圍內應以鋼刷、鑿子、手提砂輪、清潔劑等適當工具會方法清除會影響檢測的銲渣、銲濺物、油汙及鏽皮等雜物至可以實施目視檢測。</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銲接完成後冷至室溫即可實施目視檢測，但需經淬火及回火鋼種者，則應待銲接完成適當時間後，方可實施目視檢測</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3:銲道不得有裂縫或搭疊。</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4:銲道金屬層間及銲道與母材必須完全熔合。</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沐浴車–ZINGER, DELICA</w:t>
      </w:r>
    </w:p>
    <w:tbl>
      <w:tblPr>
        <w:tblStyle w:val="Table5"/>
        <w:tblW w:w="10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6"/>
        <w:gridCol w:w="2778"/>
        <w:gridCol w:w="2778"/>
        <w:gridCol w:w="2778"/>
        <w:tblGridChange w:id="0">
          <w:tblGrid>
            <w:gridCol w:w="2086"/>
            <w:gridCol w:w="2778"/>
            <w:gridCol w:w="2778"/>
            <w:gridCol w:w="2778"/>
          </w:tblGrid>
        </w:tblGridChange>
      </w:tblGrid>
      <w:tr>
        <w:trPr>
          <w:cantSplit w:val="0"/>
          <w:tblHeader w:val="0"/>
        </w:trPr>
        <w:tc>
          <w:tcPr>
            <w:shd w:fill="d9d9d9"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車型</w:t>
            </w:r>
          </w:p>
        </w:tc>
        <w:tc>
          <w:tcPr>
            <w:gridSpan w:val="3"/>
            <w:shd w:fill="d9d9d9" w:val="cle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DELICA/ZINGER</w:t>
            </w:r>
          </w:p>
        </w:tc>
      </w:tr>
      <w:tr>
        <w:trPr>
          <w:cantSplit w:val="0"/>
          <w:tblHeader w:val="0"/>
        </w:trPr>
        <w:tc>
          <w:tcPr>
            <w:shd w:fill="d9d9d9"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組件</w:t>
            </w:r>
          </w:p>
        </w:tc>
        <w:tc>
          <w:tcP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熱水器支架</w:t>
            </w:r>
          </w:p>
        </w:tc>
        <w:tc>
          <w:tcP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進出水口支架</w:t>
            </w:r>
          </w:p>
        </w:tc>
        <w:tc>
          <w:tcP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水箱</w:t>
            </w:r>
          </w:p>
        </w:tc>
      </w:tr>
      <w:tr>
        <w:trPr>
          <w:cantSplit w:val="0"/>
          <w:tblHeader w:val="0"/>
        </w:trPr>
        <w:tc>
          <w:tcPr>
            <w:shd w:fill="d9d9d9"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銲接方法</w:t>
            </w:r>
          </w:p>
        </w:tc>
        <w:tc>
          <w:tcP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氬銲</w:t>
            </w:r>
          </w:p>
        </w:tc>
        <w:tc>
          <w:tcP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氬銲</w:t>
            </w:r>
          </w:p>
        </w:tc>
        <w:tc>
          <w:tcP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氬銲</w:t>
            </w:r>
          </w:p>
        </w:tc>
      </w:tr>
      <w:tr>
        <w:trPr>
          <w:cantSplit w:val="0"/>
          <w:tblHeader w:val="0"/>
        </w:trPr>
        <w:tc>
          <w:tcPr>
            <w:shd w:fill="d9d9d9"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母材材</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料</w:t>
            </w:r>
            <w:r w:rsidDel="00000000" w:rsidR="00000000" w:rsidRPr="00000000">
              <w:rPr>
                <w:rtl w:val="0"/>
              </w:rPr>
            </w:r>
          </w:p>
        </w:tc>
        <w:tc>
          <w:tcP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SUS304不鏽鋼</w:t>
            </w:r>
          </w:p>
        </w:tc>
        <w:tc>
          <w:tcP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SUS304不鏽鋼</w:t>
            </w:r>
          </w:p>
        </w:tc>
        <w:tc>
          <w:tcP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SUS304不鏽鋼</w:t>
            </w:r>
          </w:p>
        </w:tc>
      </w:tr>
      <w:tr>
        <w:trPr>
          <w:cantSplit w:val="0"/>
          <w:tblHeader w:val="0"/>
        </w:trPr>
        <w:tc>
          <w:tcPr>
            <w:shd w:fill="d9d9d9"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抗拉強度</w:t>
            </w:r>
          </w:p>
        </w:tc>
        <w:tc>
          <w:tcP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520N/mm2</w:t>
            </w:r>
          </w:p>
        </w:tc>
        <w:tc>
          <w:tcP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520N/mm2</w:t>
            </w:r>
          </w:p>
        </w:tc>
        <w:tc>
          <w:tcP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520N/mm2</w:t>
            </w:r>
          </w:p>
        </w:tc>
      </w:tr>
      <w:tr>
        <w:trPr>
          <w:cantSplit w:val="0"/>
          <w:tblHeader w:val="0"/>
        </w:trPr>
        <w:tc>
          <w:tcPr>
            <w:shd w:fill="d9d9d9"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降伏強度</w:t>
            </w:r>
          </w:p>
        </w:tc>
        <w:tc>
          <w:tcP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205N/mm2</w:t>
            </w:r>
          </w:p>
        </w:tc>
        <w:tc>
          <w:tcP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205N/mm2</w:t>
            </w:r>
          </w:p>
        </w:tc>
        <w:tc>
          <w:tcP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205N/mm2</w:t>
            </w:r>
          </w:p>
        </w:tc>
      </w:tr>
      <w:tr>
        <w:trPr>
          <w:cantSplit w:val="0"/>
          <w:tblHeader w:val="0"/>
        </w:trPr>
        <w:tc>
          <w:tcPr>
            <w:shd w:fill="d9d9d9"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伸長率</w:t>
            </w:r>
          </w:p>
        </w:tc>
        <w:tc>
          <w:tcP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40%/min</w:t>
            </w:r>
          </w:p>
        </w:tc>
        <w:tc>
          <w:tcP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40%/min</w:t>
            </w:r>
          </w:p>
        </w:tc>
        <w:tc>
          <w:tcP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40%/min</w:t>
            </w:r>
          </w:p>
        </w:tc>
      </w:tr>
      <w:tr>
        <w:trPr>
          <w:cantSplit w:val="0"/>
          <w:tblHeader w:val="0"/>
        </w:trPr>
        <w:tc>
          <w:tcPr>
            <w:shd w:fill="d9d9d9"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硬度</w:t>
            </w:r>
          </w:p>
        </w:tc>
        <w:tc>
          <w:tcP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Max.90 (HRB)</w:t>
            </w:r>
          </w:p>
        </w:tc>
        <w:tc>
          <w:tcP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Max.90 (HRB)</w:t>
            </w:r>
          </w:p>
        </w:tc>
        <w:tc>
          <w:tcP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Max.90 (HRB)</w:t>
            </w:r>
          </w:p>
        </w:tc>
      </w:tr>
      <w:tr>
        <w:trPr>
          <w:cantSplit w:val="0"/>
          <w:tblHeader w:val="0"/>
        </w:trPr>
        <w:tc>
          <w:tcPr>
            <w:shd w:fill="d9d9d9"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母材厚度（mm）</w:t>
            </w:r>
          </w:p>
        </w:tc>
        <w:tc>
          <w:tcP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shd w:fill="d9d9d9"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氣體工作壓力(kg/cm2)</w:t>
            </w:r>
          </w:p>
        </w:tc>
        <w:tc>
          <w:tcP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w:t>
            </w:r>
          </w:p>
        </w:tc>
        <w:tc>
          <w:tcP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w:t>
            </w:r>
          </w:p>
        </w:tc>
        <w:tc>
          <w:tcP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w:t>
            </w:r>
          </w:p>
        </w:tc>
      </w:tr>
      <w:tr>
        <w:trPr>
          <w:cantSplit w:val="0"/>
          <w:tblHeader w:val="0"/>
        </w:trPr>
        <w:tc>
          <w:tcPr>
            <w:shd w:fill="d9d9d9" w:val="cle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喉深(mm)</w:t>
            </w:r>
          </w:p>
        </w:tc>
        <w:tc>
          <w:tcP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shd w:fill="d9d9d9" w:val="cle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填料材種類</w:t>
            </w:r>
          </w:p>
        </w:tc>
        <w:tc>
          <w:tcP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KTS-308L</w:t>
            </w:r>
          </w:p>
        </w:tc>
        <w:tc>
          <w:tcP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KTS-308L</w:t>
            </w:r>
          </w:p>
        </w:tc>
        <w:tc>
          <w:tcP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KTS-308L</w:t>
            </w:r>
          </w:p>
        </w:tc>
      </w:tr>
      <w:tr>
        <w:trPr>
          <w:cantSplit w:val="0"/>
          <w:tblHeader w:val="0"/>
        </w:trPr>
        <w:tc>
          <w:tcPr>
            <w:shd w:fill="d9d9d9" w:val="cle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填料材尺度</w:t>
            </w:r>
          </w:p>
        </w:tc>
        <w:tc>
          <w:tcP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shd w:fill="d9d9d9"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遮護氣體</w:t>
            </w:r>
          </w:p>
        </w:tc>
        <w:tc>
          <w:tcP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氬氣</w:t>
            </w:r>
          </w:p>
        </w:tc>
        <w:tc>
          <w:tcP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氬氣</w:t>
            </w:r>
          </w:p>
        </w:tc>
        <w:tc>
          <w:tcP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氬氣</w:t>
            </w:r>
          </w:p>
        </w:tc>
      </w:tr>
      <w:tr>
        <w:trPr>
          <w:cantSplit w:val="0"/>
          <w:tblHeader w:val="0"/>
        </w:trPr>
        <w:tc>
          <w:tcPr>
            <w:shd w:fill="d9d9d9"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銲接電流種類/極性</w:t>
            </w:r>
          </w:p>
        </w:tc>
        <w:tc>
          <w:tcP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直流/負極</w:t>
            </w:r>
          </w:p>
        </w:tc>
      </w:tr>
      <w:tr>
        <w:trPr>
          <w:cantSplit w:val="0"/>
          <w:tblHeader w:val="0"/>
        </w:trPr>
        <w:tc>
          <w:tcPr>
            <w:shd w:fill="d9d9d9" w:val="cle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銲接姿勢</w:t>
            </w:r>
          </w:p>
        </w:tc>
        <w:tc>
          <w:tcP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平銲</w:t>
            </w:r>
          </w:p>
        </w:tc>
        <w:tc>
          <w:tcP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平銲</w:t>
            </w:r>
          </w:p>
        </w:tc>
        <w:tc>
          <w:tcP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平銲</w:t>
            </w:r>
          </w:p>
        </w:tc>
      </w:tr>
      <w:tr>
        <w:trPr>
          <w:cantSplit w:val="0"/>
          <w:tblHeader w:val="0"/>
        </w:trPr>
        <w:tc>
          <w:tcPr>
            <w:shd w:fill="d9d9d9"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檢驗方式</w:t>
            </w:r>
          </w:p>
        </w:tc>
        <w:tc>
          <w:tcPr>
            <w:gridSpan w:val="3"/>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檢驗方式採目視檢測法，檢驗結果「</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所有銲接步驟皆符合銲接規範」。</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1:銲接完成後，塗裝前，銲道及其鄰近母材至少25mm範圍內應以鋼刷、鑿子、手提砂輪、清潔劑等適當工具會方法清除會影響檢測的銲渣、銲濺物、油汙及鏽皮等雜物至可以實施目視檢測。</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銲接完成後冷至室溫即可實施目視檢測，但需經淬火及回火鋼種者，則應待銲接完成適當時間後，方可實施目視檢測</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3:銲道不得有裂縫或搭疊。</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4:銲道金屬層間及銲道與母材必須完全熔合。</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ff0000"/>
          <w:sz w:val="24"/>
          <w:szCs w:val="24"/>
          <w:u w:val="none"/>
          <w:shd w:fill="auto" w:val="clear"/>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載運輪椅使用車輛(活動式坡道)–TOYOTA</w:t>
      </w:r>
    </w:p>
    <w:tbl>
      <w:tblPr>
        <w:tblStyle w:val="Table6"/>
        <w:tblW w:w="10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9"/>
        <w:gridCol w:w="1519"/>
        <w:gridCol w:w="1480"/>
        <w:gridCol w:w="1480"/>
        <w:gridCol w:w="1558"/>
        <w:gridCol w:w="1691"/>
        <w:gridCol w:w="1473"/>
        <w:tblGridChange w:id="0">
          <w:tblGrid>
            <w:gridCol w:w="1219"/>
            <w:gridCol w:w="1519"/>
            <w:gridCol w:w="1480"/>
            <w:gridCol w:w="1480"/>
            <w:gridCol w:w="1558"/>
            <w:gridCol w:w="1691"/>
            <w:gridCol w:w="1473"/>
          </w:tblGrid>
        </w:tblGridChange>
      </w:tblGrid>
      <w:tr>
        <w:trPr>
          <w:cantSplit w:val="0"/>
          <w:tblHeader w:val="0"/>
        </w:trPr>
        <w:tc>
          <w:tcPr>
            <w:shd w:fill="d9d9d9"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組件</w:t>
            </w:r>
          </w:p>
        </w:tc>
        <w:tc>
          <w:tcPr>
            <w:shd w:fill="d9d9d9" w:val="cle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後橫樑</w:t>
            </w:r>
          </w:p>
        </w:tc>
        <w:tc>
          <w:tcPr>
            <w:shd w:fill="d9d9d9" w:val="cle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內斜坡板</w:t>
            </w:r>
          </w:p>
        </w:tc>
        <w:tc>
          <w:tcPr>
            <w:gridSpan w:val="2"/>
            <w:shd w:fill="d9d9d9"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後橫樑對接車體</w:t>
            </w:r>
          </w:p>
        </w:tc>
        <w:tc>
          <w:tcPr>
            <w:shd w:fill="d9d9d9" w:val="cle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內斜坡板對接車體</w:t>
            </w:r>
          </w:p>
        </w:tc>
        <w:tc>
          <w:tcPr>
            <w:shd w:fill="d9d9d9" w:val="cle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73座椅基座連對接車體</w:t>
            </w:r>
          </w:p>
        </w:tc>
      </w:tr>
      <w:tr>
        <w:trPr>
          <w:cantSplit w:val="0"/>
          <w:tblHeader w:val="0"/>
        </w:trPr>
        <w:tc>
          <w:tcPr>
            <w:shd w:fill="d9d9d9" w:val="cle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分件</w:t>
            </w:r>
          </w:p>
        </w:tc>
        <w:tc>
          <w:tcP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後橫樑本體</w:t>
            </w:r>
          </w:p>
        </w:tc>
        <w:tc>
          <w:tcP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橫直樑補強</w:t>
            </w:r>
          </w:p>
        </w:tc>
        <w:tc>
          <w:tcP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內斜坡板本體</w:t>
            </w:r>
          </w:p>
        </w:tc>
        <w:tc>
          <w:tcP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後橫樑與車體銲接</w:t>
            </w:r>
          </w:p>
        </w:tc>
        <w:tc>
          <w:tcP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內斜坡板與車體銲接/補強</w:t>
            </w:r>
          </w:p>
        </w:tc>
        <w:tc>
          <w:tcP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73座椅基座與車體銲接/補強</w:t>
            </w:r>
          </w:p>
        </w:tc>
      </w:tr>
      <w:tr>
        <w:trPr>
          <w:cantSplit w:val="0"/>
          <w:tblHeader w:val="0"/>
        </w:trPr>
        <w:tc>
          <w:tcPr>
            <w:shd w:fill="d9d9d9"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銲接方法</w:t>
            </w:r>
          </w:p>
        </w:tc>
        <w:tc>
          <w:tcP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CO2銲接</w:t>
            </w:r>
          </w:p>
        </w:tc>
        <w:tc>
          <w:tcP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氬銲</w:t>
            </w:r>
          </w:p>
        </w:tc>
        <w:tc>
          <w:tcP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氬銲</w:t>
            </w:r>
          </w:p>
        </w:tc>
        <w:tc>
          <w:tcP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 CO2銲接</w:t>
            </w:r>
          </w:p>
        </w:tc>
        <w:tc>
          <w:tcP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CO2銲接</w:t>
            </w:r>
          </w:p>
        </w:tc>
        <w:tc>
          <w:tcP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氬銲</w:t>
            </w:r>
          </w:p>
        </w:tc>
      </w:tr>
      <w:tr>
        <w:trPr>
          <w:cantSplit w:val="0"/>
          <w:tblHeader w:val="0"/>
        </w:trPr>
        <w:tc>
          <w:tcPr>
            <w:shd w:fill="d9d9d9" w:val="cle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母材材</w:t>
            </w:r>
            <w:r w:rsidDel="00000000" w:rsidR="00000000" w:rsidRPr="00000000">
              <w:rPr>
                <w:rFonts w:ascii="PMingLiu" w:cs="PMingLiu" w:eastAsia="PMingLiu" w:hAnsi="PMingLiu"/>
                <w:b w:val="0"/>
                <w:bCs w:val="0"/>
                <w:i w:val="0"/>
                <w:iCs w:val="0"/>
                <w:smallCaps w:val="0"/>
                <w:strike w:val="0"/>
                <w:color w:val="ff0000"/>
                <w:sz w:val="24"/>
                <w:szCs w:val="24"/>
                <w:u w:val="none"/>
                <w:shd w:fill="auto" w:val="clear"/>
                <w:vertAlign w:val="baseline"/>
                <w:rtl w:val="0"/>
              </w:rPr>
              <w:t xml:space="preserve">料</w:t>
            </w:r>
            <w:r w:rsidDel="00000000" w:rsidR="00000000" w:rsidRPr="00000000">
              <w:rPr>
                <w:rtl w:val="0"/>
              </w:rPr>
            </w:r>
          </w:p>
        </w:tc>
        <w:tc>
          <w:tcP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SS41低碳鋼(鐵)</w:t>
            </w:r>
          </w:p>
        </w:tc>
        <w:tc>
          <w:tcP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SUS304</w:t>
              <w:br w:type="textWrapping"/>
              <w:t xml:space="preserve">不鏽鋼</w:t>
            </w:r>
          </w:p>
        </w:tc>
        <w:tc>
          <w:tcP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SUS304</w:t>
              <w:br w:type="textWrapping"/>
              <w:t xml:space="preserve">不鏽鋼</w:t>
            </w:r>
          </w:p>
        </w:tc>
        <w:tc>
          <w:tcP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SS41低碳鋼(鐵)</w:t>
            </w:r>
          </w:p>
        </w:tc>
        <w:tc>
          <w:tcP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SUS304</w:t>
              <w:br w:type="textWrapping"/>
              <w:t xml:space="preserve">不鏽鋼</w:t>
            </w:r>
          </w:p>
        </w:tc>
        <w:tc>
          <w:tcP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SUS304</w:t>
              <w:br w:type="textWrapping"/>
              <w:t xml:space="preserve">不鏽鋼</w:t>
            </w:r>
          </w:p>
        </w:tc>
      </w:tr>
      <w:tr>
        <w:trPr>
          <w:cantSplit w:val="0"/>
          <w:tblHeader w:val="0"/>
        </w:trPr>
        <w:tc>
          <w:tcPr>
            <w:shd w:fill="d9d9d9" w:val="cle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抗拉強度</w:t>
            </w:r>
          </w:p>
        </w:tc>
        <w:tc>
          <w:tcP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402N/mm2</w:t>
            </w:r>
          </w:p>
        </w:tc>
        <w:tc>
          <w:tcP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520N/mm2</w:t>
            </w:r>
          </w:p>
        </w:tc>
        <w:tc>
          <w:tcP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520N/mm2</w:t>
            </w:r>
          </w:p>
        </w:tc>
        <w:tc>
          <w:tcP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402 N/mm2</w:t>
            </w:r>
          </w:p>
        </w:tc>
        <w:tc>
          <w:tcP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520N/mm2</w:t>
            </w:r>
          </w:p>
        </w:tc>
        <w:tc>
          <w:tcP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520N/mm2</w:t>
            </w:r>
          </w:p>
        </w:tc>
      </w:tr>
      <w:tr>
        <w:trPr>
          <w:cantSplit w:val="0"/>
          <w:tblHeader w:val="0"/>
        </w:trPr>
        <w:tc>
          <w:tcPr>
            <w:shd w:fill="d9d9d9" w:val="cle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降伏強度</w:t>
            </w:r>
          </w:p>
        </w:tc>
        <w:tc>
          <w:tcP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245 N/mm2 </w:t>
            </w:r>
          </w:p>
        </w:tc>
        <w:tc>
          <w:tcP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205N/mm2</w:t>
            </w:r>
          </w:p>
        </w:tc>
        <w:tc>
          <w:tcP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205N/mm2</w:t>
            </w:r>
          </w:p>
        </w:tc>
        <w:tc>
          <w:tcP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245N/mm2</w:t>
            </w:r>
          </w:p>
        </w:tc>
        <w:tc>
          <w:tcP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205N/mm2</w:t>
            </w:r>
          </w:p>
        </w:tc>
        <w:tc>
          <w:tcP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205N/mm2</w:t>
            </w:r>
          </w:p>
        </w:tc>
      </w:tr>
      <w:tr>
        <w:trPr>
          <w:cantSplit w:val="0"/>
          <w:tblHeader w:val="0"/>
        </w:trPr>
        <w:tc>
          <w:tcPr>
            <w:shd w:fill="d9d9d9"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伸長率</w:t>
            </w:r>
          </w:p>
        </w:tc>
        <w:tc>
          <w:tcP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40%/min</w:t>
            </w:r>
          </w:p>
        </w:tc>
        <w:tc>
          <w:tcP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40%/min</w:t>
            </w:r>
          </w:p>
        </w:tc>
        <w:tc>
          <w:tcP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40%/min</w:t>
            </w:r>
          </w:p>
        </w:tc>
        <w:tc>
          <w:tcP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40%/min</w:t>
            </w:r>
          </w:p>
        </w:tc>
      </w:tr>
      <w:tr>
        <w:trPr>
          <w:cantSplit w:val="0"/>
          <w:tblHeader w:val="0"/>
        </w:trPr>
        <w:tc>
          <w:tcPr>
            <w:shd w:fill="d9d9d9" w:val="cle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硬度</w:t>
            </w:r>
          </w:p>
        </w:tc>
        <w:tc>
          <w:tcP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Max.90 (HRB)</w:t>
            </w:r>
          </w:p>
        </w:tc>
        <w:tc>
          <w:tcP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Max.90 (HRB)</w:t>
            </w:r>
          </w:p>
        </w:tc>
        <w:tc>
          <w:tcP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Max.90 (HRB)</w:t>
            </w:r>
          </w:p>
        </w:tc>
        <w:tc>
          <w:tcP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Max.90 (HRB)</w:t>
            </w:r>
          </w:p>
        </w:tc>
      </w:tr>
      <w:tr>
        <w:trPr>
          <w:cantSplit w:val="0"/>
          <w:tblHeader w:val="0"/>
        </w:trPr>
        <w:tc>
          <w:tcPr>
            <w:shd w:fill="d9d9d9"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母材厚度（mm）</w:t>
            </w:r>
          </w:p>
        </w:tc>
        <w:tc>
          <w:tcP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w:t>
            </w:r>
          </w:p>
        </w:tc>
        <w:tc>
          <w:tcP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w:t>
            </w:r>
          </w:p>
        </w:tc>
        <w:tc>
          <w:tcP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1.5</w:t>
            </w:r>
          </w:p>
        </w:tc>
        <w:tc>
          <w:tcP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w:t>
            </w:r>
          </w:p>
        </w:tc>
        <w:tc>
          <w:tcP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w:t>
            </w:r>
          </w:p>
        </w:tc>
        <w:tc>
          <w:tcP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1.5</w:t>
            </w:r>
          </w:p>
        </w:tc>
      </w:tr>
      <w:tr>
        <w:trPr>
          <w:cantSplit w:val="0"/>
          <w:tblHeader w:val="0"/>
        </w:trPr>
        <w:tc>
          <w:tcPr>
            <w:shd w:fill="d9d9d9"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氣體工作壓力(kg/cm2)</w:t>
            </w:r>
          </w:p>
        </w:tc>
        <w:tc>
          <w:tcP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150</w:t>
            </w:r>
          </w:p>
        </w:tc>
        <w:tc>
          <w:tcP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150</w:t>
            </w:r>
          </w:p>
        </w:tc>
        <w:tc>
          <w:tcP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150</w:t>
            </w:r>
          </w:p>
        </w:tc>
        <w:tc>
          <w:tcP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w:t>
            </w:r>
          </w:p>
        </w:tc>
        <w:tc>
          <w:tcP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w:t>
            </w:r>
          </w:p>
        </w:tc>
        <w:tc>
          <w:tcP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150</w:t>
            </w:r>
          </w:p>
        </w:tc>
      </w:tr>
      <w:tr>
        <w:trPr>
          <w:cantSplit w:val="0"/>
          <w:tblHeader w:val="0"/>
        </w:trPr>
        <w:tc>
          <w:tcPr>
            <w:shd w:fill="d9d9d9"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喉深(mm)</w:t>
            </w:r>
          </w:p>
        </w:tc>
        <w:tc>
          <w:tcP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c>
          <w:tcP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c>
          <w:tcP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c>
          <w:tcP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c>
          <w:tcP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c>
          <w:tcP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r>
      <w:tr>
        <w:trPr>
          <w:cantSplit w:val="0"/>
          <w:tblHeader w:val="0"/>
        </w:trPr>
        <w:tc>
          <w:tcPr>
            <w:shd w:fill="d9d9d9"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填料材種類</w:t>
            </w:r>
          </w:p>
        </w:tc>
        <w:tc>
          <w:tcP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AWS ER70S-6</w:t>
            </w:r>
          </w:p>
        </w:tc>
        <w:tc>
          <w:tcP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KTS-308L</w:t>
            </w:r>
          </w:p>
        </w:tc>
        <w:tc>
          <w:tcP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KTS-308L</w:t>
            </w:r>
          </w:p>
        </w:tc>
        <w:tc>
          <w:tcP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AWS ER70S-6</w:t>
            </w:r>
          </w:p>
        </w:tc>
        <w:tc>
          <w:tcP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AWS ER70S-6</w:t>
            </w:r>
          </w:p>
        </w:tc>
        <w:tc>
          <w:tcP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KTS-308L</w:t>
            </w:r>
          </w:p>
        </w:tc>
      </w:tr>
      <w:tr>
        <w:trPr>
          <w:cantSplit w:val="0"/>
          <w:tblHeader w:val="0"/>
        </w:trPr>
        <w:tc>
          <w:tcPr>
            <w:shd w:fill="d9d9d9"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填料材尺度</w:t>
            </w:r>
          </w:p>
        </w:tc>
        <w:tc>
          <w:tcP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1.6</w:t>
            </w:r>
          </w:p>
        </w:tc>
        <w:tc>
          <w:tcP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w:t>
            </w:r>
          </w:p>
        </w:tc>
        <w:tc>
          <w:tcP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w:t>
            </w:r>
          </w:p>
        </w:tc>
        <w:tc>
          <w:tcP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1.6</w:t>
            </w:r>
          </w:p>
        </w:tc>
        <w:tc>
          <w:tcP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1.6</w:t>
            </w:r>
          </w:p>
        </w:tc>
        <w:tc>
          <w:tcP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w:t>
            </w:r>
          </w:p>
        </w:tc>
      </w:tr>
      <w:tr>
        <w:trPr>
          <w:cantSplit w:val="0"/>
          <w:tblHeader w:val="0"/>
        </w:trPr>
        <w:tc>
          <w:tcPr>
            <w:shd w:fill="d9d9d9" w:val="cle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遮護氣體</w:t>
            </w:r>
          </w:p>
        </w:tc>
        <w:tc>
          <w:tcP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CO2</w:t>
            </w:r>
          </w:p>
        </w:tc>
        <w:tc>
          <w:tcP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氬氣</w:t>
            </w:r>
          </w:p>
        </w:tc>
        <w:tc>
          <w:tcP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氬氣</w:t>
            </w:r>
          </w:p>
        </w:tc>
        <w:tc>
          <w:tcP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CO2</w:t>
            </w:r>
          </w:p>
        </w:tc>
        <w:tc>
          <w:tcP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CO2</w:t>
            </w:r>
          </w:p>
        </w:tc>
        <w:tc>
          <w:tcP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氬氣</w:t>
            </w:r>
          </w:p>
        </w:tc>
      </w:tr>
      <w:tr>
        <w:trPr>
          <w:cantSplit w:val="0"/>
          <w:tblHeader w:val="0"/>
        </w:trPr>
        <w:tc>
          <w:tcPr>
            <w:shd w:fill="d9d9d9" w:val="cle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銲接電流種類/極性</w:t>
            </w:r>
          </w:p>
        </w:tc>
        <w:tc>
          <w:tcP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直流/負極</w:t>
            </w:r>
          </w:p>
        </w:tc>
        <w:tc>
          <w:tcP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直流/負極</w:t>
            </w:r>
          </w:p>
        </w:tc>
      </w:tr>
      <w:tr>
        <w:trPr>
          <w:cantSplit w:val="0"/>
          <w:tblHeader w:val="0"/>
        </w:trPr>
        <w:tc>
          <w:tcPr>
            <w:shd w:fill="d9d9d9"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銲接姿勢</w:t>
            </w:r>
          </w:p>
        </w:tc>
        <w:tc>
          <w:tcP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平銲</w:t>
            </w:r>
          </w:p>
        </w:tc>
        <w:tc>
          <w:tcP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平銲</w:t>
            </w:r>
          </w:p>
        </w:tc>
        <w:tc>
          <w:tcP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平銲</w:t>
            </w:r>
          </w:p>
        </w:tc>
        <w:tc>
          <w:tcP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立銲</w:t>
            </w:r>
          </w:p>
        </w:tc>
        <w:tc>
          <w:tcP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仰銲</w:t>
            </w:r>
          </w:p>
        </w:tc>
        <w:tc>
          <w:tcP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平銲</w:t>
            </w:r>
          </w:p>
        </w:tc>
      </w:tr>
      <w:tr>
        <w:trPr>
          <w:cantSplit w:val="0"/>
          <w:tblHeader w:val="0"/>
        </w:trPr>
        <w:tc>
          <w:tcPr>
            <w:shd w:fill="d9d9d9"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檢驗方式</w:t>
            </w:r>
          </w:p>
        </w:tc>
        <w:tc>
          <w:tcPr>
            <w:gridSpan w:val="5"/>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檢驗方式採目視檢測法，檢驗結果「</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所有銲接步驟皆符合銲接規範」。</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1:銲接完成後，塗裝前，銲道及其鄰近母材至少25mm範圍內應以鋼刷、鑿子、手提砂輪、清潔劑等適當工具會方法清除會影響檢測的銲渣、銲濺物、油汙及鏽皮等雜物至可以實施目視檢測。</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2: 銲接完成後冷至室溫即可實施目視檢測，但需經淬火及回火鋼種者，則應待銲接完成適當時間後，方可實施目視檢測</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3:銲道不得有裂縫或搭疊。</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4:銲道金屬層間及銲道與母材必須完全熔合。</w:t>
            </w:r>
          </w:p>
        </w:tc>
        <w:tc>
          <w:tcP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ab/>
        <w:t xml:space="preserve">材料  </w:t>
      </w:r>
    </w:p>
    <w:p w:rsidR="00000000" w:rsidDel="00000000" w:rsidP="00000000" w:rsidRDefault="00000000" w:rsidRPr="00000000" w14:paraId="000001B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材料圖面說明</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除契約圖說另有規定外，所有鋼料不可用短料銲接。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除契約圖說另有規定外，鋼管採用直線縫為原則。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除契約圖說另有規定外，銲接材料應依所使用之鋼料及不同之銲接方式，由承包商自選符合下表所定標準之產品，並提出材料試驗報告，經認可後始得使用。厚度超過25mm之Grade 36級鋼板及任何厚度之Grade 50級以上之鋼板，應使用低氫系銲條。</w:t>
      </w:r>
    </w:p>
    <w:p w:rsidR="00000000" w:rsidDel="00000000" w:rsidP="00000000" w:rsidRDefault="00000000" w:rsidRPr="00000000" w14:paraId="000001B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SMAW銲條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SMAW銲條必須符合最新版AWSA5.1/5.1M 碳鋼用覆被銲條電弧銲規範或AWSA5.5/5.5M 低合金鋼用覆被銲條電弧銲規範 的要求。</w:t>
      </w:r>
    </w:p>
    <w:p w:rsidR="00000000" w:rsidDel="00000000" w:rsidP="00000000" w:rsidRDefault="00000000" w:rsidRPr="00000000" w14:paraId="000001B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母材的準備</w:t>
      </w:r>
    </w:p>
    <w:p w:rsidR="00000000" w:rsidDel="00000000" w:rsidP="00000000" w:rsidRDefault="00000000" w:rsidRPr="00000000" w14:paraId="000001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概 述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母材必足夠清潔以允許進行符合本規範質量要求的銲道的製作。</w:t>
      </w:r>
    </w:p>
    <w:p w:rsidR="00000000" w:rsidDel="00000000" w:rsidP="00000000" w:rsidRDefault="00000000" w:rsidRPr="00000000" w14:paraId="000001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軋製引起的缺陷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嚴禁在母材表面含有下述情況時施銲: 毛剌、撕裂、裂紋、殘渣或其他母材規範所定義的缺陷。</w:t>
      </w:r>
    </w:p>
    <w:p w:rsidR="00000000" w:rsidDel="00000000" w:rsidP="00000000" w:rsidRDefault="00000000" w:rsidRPr="00000000" w14:paraId="000001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氧化皮與鐵銹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必須清除待銲表面和臨近銲道表面的疏到的切割表面不連續的允許限度和修補必須遵守，不連接長度鬆氧化皮,厚氧化皮和厚的銹層，可以在手工鋼刷用力清除不掉的軋製氧化皮和銹的表面進行銲接, 但要符合本規範的適用品質要求，例外的情況是：周期載荷結構大梁中連續翼緣板和腹板銲道的待銲處的表面，必須清除所有軋製氧化皮。</w:t>
      </w:r>
    </w:p>
    <w:p w:rsidR="00000000" w:rsidDel="00000000" w:rsidP="00000000" w:rsidRDefault="00000000" w:rsidRPr="00000000" w14:paraId="000001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外來材料</w:t>
      </w:r>
    </w:p>
    <w:p w:rsidR="00000000" w:rsidDel="00000000" w:rsidP="00000000" w:rsidRDefault="00000000" w:rsidRPr="00000000" w14:paraId="000001C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必須對待銲表面和臨近銲道表面進行清潔，以除去過多的下述材料:</w:t>
      </w:r>
    </w:p>
    <w:p w:rsidR="00000000" w:rsidDel="00000000" w:rsidP="00000000" w:rsidRDefault="00000000" w:rsidRPr="00000000" w14:paraId="000001C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2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水</w:t>
      </w:r>
    </w:p>
    <w:p w:rsidR="00000000" w:rsidDel="00000000" w:rsidP="00000000" w:rsidRDefault="00000000" w:rsidRPr="00000000" w14:paraId="000001C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2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油</w:t>
      </w:r>
    </w:p>
    <w:p w:rsidR="00000000" w:rsidDel="00000000" w:rsidP="00000000" w:rsidRDefault="00000000" w:rsidRPr="00000000" w14:paraId="000001C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2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油脂</w:t>
      </w:r>
    </w:p>
    <w:p w:rsidR="00000000" w:rsidDel="00000000" w:rsidP="00000000" w:rsidRDefault="00000000" w:rsidRPr="00000000" w14:paraId="000001C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2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其他碳氫類材料</w:t>
      </w:r>
    </w:p>
    <w:p w:rsidR="00000000" w:rsidDel="00000000" w:rsidP="00000000" w:rsidRDefault="00000000" w:rsidRPr="00000000" w14:paraId="000001C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如果本規範的品質要求得滿足，則允許在含有殘餘量外來材料的表面上進行銲接.</w:t>
      </w:r>
    </w:p>
    <w:p w:rsidR="00000000" w:rsidDel="00000000" w:rsidP="00000000" w:rsidRDefault="00000000" w:rsidRPr="00000000" w14:paraId="000001C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如果本規範的品質要求得滿足，除了5.14.4.1所禁止的那些材料外，允許在有防護塗層或防飛濺化合物的表面施銲。</w:t>
      </w:r>
    </w:p>
    <w:p w:rsidR="00000000" w:rsidDel="00000000" w:rsidP="00000000" w:rsidRDefault="00000000" w:rsidRPr="00000000" w14:paraId="000001C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軋製引起的不連續 肉眼觀察到的切割表面不連續的允許限度和修補必須遵守表.4規定，表中不連續長度是材料切割表面上的目測弓的長度，而深度則為不連續從切割表面延伸到材料內部的距離，所有接修補必須按本規範進行，清除不連續可以從母材的任一表面進行。合計的銲接長度嚴禁超過表面修補的鋼板長度的20%。</w:t>
      </w:r>
    </w:p>
    <w:p w:rsidR="00000000" w:rsidDel="00000000" w:rsidP="00000000" w:rsidRDefault="00000000" w:rsidRPr="00000000" w14:paraId="000001C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修補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在修補和確定切割表面上肉眼視察到的軋製引起的不連續的限度時，被清除的金屬量必須為清除不連續所必要的最低量。然而，如果需要銲接修補，則須清除足夠的母材以保証銲接操作的可達性。切割面可與軋製方向成任何角度。所有不連續的銲接修補必須做到:</w:t>
      </w:r>
    </w:p>
    <w:p w:rsidR="00000000" w:rsidDel="00000000" w:rsidP="00000000" w:rsidRDefault="00000000" w:rsidRPr="00000000" w14:paraId="000001C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對修補區域進行適當準備</w:t>
      </w:r>
    </w:p>
    <w:p w:rsidR="00000000" w:rsidDel="00000000" w:rsidP="00000000" w:rsidRDefault="00000000" w:rsidRPr="00000000" w14:paraId="000001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用獲得批准的低氧方法銲接，並符合本規範的適用條款</w:t>
      </w:r>
    </w:p>
    <w:p w:rsidR="00000000" w:rsidDel="00000000" w:rsidP="00000000" w:rsidRDefault="00000000" w:rsidRPr="00000000" w14:paraId="000001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打磨己完成的修補銲道，使它光滑並與鄰近的母材表面平齊且精細修整</w:t>
      </w:r>
    </w:p>
    <w:p w:rsidR="00000000" w:rsidDel="00000000" w:rsidP="00000000" w:rsidRDefault="00000000" w:rsidRPr="00000000" w14:paraId="000001C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銲道穿越孔，梁的開槽口和連接材料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道穿越孔，梁的開槽口和連接材料中的切割表面必須沒有缺口。梁的開槽口和在連接材料中的切割表面必須沒有尖銳的內凹。銲道穿越孔必須這到光滑過渡，相鄰西表面之間切割不應超過切點，而且必須符合圖面要求。</w:t>
      </w:r>
    </w:p>
    <w:p w:rsidR="00000000" w:rsidDel="00000000" w:rsidP="00000000" w:rsidRDefault="00000000" w:rsidRPr="00000000" w14:paraId="000001D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銲道穿越孔尺寸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所有銲道穿越孔必須有足夠長度，從製備銲接接頭內表面梭邊起長度不小於被開孔材料厚度1.5倍。銲道穿越孔最小高度必須為開穿越孔材料的厚度(tw)，但不得小於 3/4in.[20mm]，也無需超過2in.[50mm]。穿越孔必須提供採用背墊時的細節，以保証銲接操作有足夠空間。</w:t>
      </w:r>
    </w:p>
    <w:p w:rsidR="00000000" w:rsidDel="00000000" w:rsidP="00000000" w:rsidRDefault="00000000" w:rsidRPr="00000000" w14:paraId="000001D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銲接材料種類</w:t>
      </w:r>
    </w:p>
    <w:tbl>
      <w:tblPr>
        <w:tblStyle w:val="Table7"/>
        <w:tblW w:w="10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1546"/>
        <w:gridCol w:w="1430"/>
        <w:gridCol w:w="1701"/>
        <w:gridCol w:w="1511"/>
        <w:gridCol w:w="1430"/>
        <w:tblGridChange w:id="0">
          <w:tblGrid>
            <w:gridCol w:w="2802"/>
            <w:gridCol w:w="1546"/>
            <w:gridCol w:w="1430"/>
            <w:gridCol w:w="1701"/>
            <w:gridCol w:w="1511"/>
            <w:gridCol w:w="1430"/>
          </w:tblGrid>
        </w:tblGridChange>
      </w:tblGrid>
      <w:tr>
        <w:trPr>
          <w:cantSplit w:val="0"/>
          <w:tblHeader w:val="0"/>
        </w:trPr>
        <w:tc>
          <w:tcPr>
            <w:gridSpan w:val="3"/>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 用 之 鋼 料</w:t>
            </w:r>
          </w:p>
        </w:tc>
        <w:tc>
          <w:tcPr>
            <w:gridSpan w:val="3"/>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  接  材  料</w:t>
            </w:r>
          </w:p>
        </w:tc>
      </w:tr>
      <w:tr>
        <w:trPr>
          <w:cantSplit w:val="0"/>
          <w:tblHeader w:val="0"/>
        </w:trPr>
        <w:tc>
          <w:tcP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材 料 規 格</w:t>
            </w:r>
          </w:p>
        </w:tc>
        <w:tc>
          <w:tcP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最小降伏</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強度（N/mm2）</w:t>
            </w:r>
          </w:p>
        </w:tc>
        <w:tc>
          <w:tcP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拉力強度</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（N/mm2）</w:t>
            </w:r>
          </w:p>
        </w:tc>
        <w:tc>
          <w:tcP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銲條</w:t>
            </w:r>
          </w:p>
        </w:tc>
        <w:tc>
          <w:tcP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最小降伏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強度（N/mm2）</w:t>
            </w:r>
          </w:p>
        </w:tc>
        <w:tc>
          <w:tcP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拉力強度</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（N/mm2）</w:t>
            </w:r>
          </w:p>
        </w:tc>
      </w:tr>
      <w:tr>
        <w:trPr>
          <w:cantSplit w:val="0"/>
          <w:tblHeader w:val="0"/>
        </w:trPr>
        <w:tc>
          <w:tcP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JIS SUS304 304不鏽鋼</w:t>
            </w:r>
          </w:p>
        </w:tc>
        <w:tc>
          <w:tcP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w:t>
            </w:r>
          </w:p>
        </w:tc>
        <w:tc>
          <w:tcP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w:t>
            </w:r>
          </w:p>
        </w:tc>
        <w:tc>
          <w:tcP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ER70S-6</w:t>
            </w:r>
          </w:p>
        </w:tc>
        <w:tc>
          <w:tcP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430</w:t>
            </w:r>
          </w:p>
        </w:tc>
        <w:tc>
          <w:tcP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w:t>
            </w:r>
          </w:p>
        </w:tc>
      </w:tr>
      <w:tr>
        <w:trPr>
          <w:cantSplit w:val="0"/>
          <w:tblHeader w:val="0"/>
        </w:trPr>
        <w:tc>
          <w:tcP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JIS SS41</w:t>
            </w:r>
            <w:r w:rsidDel="00000000" w:rsidR="00000000" w:rsidRPr="00000000">
              <w:rPr>
                <w:rFonts w:ascii="Gungsuh" w:cs="Gungsuh" w:eastAsia="Gungsuh" w:hAnsi="Gungsuh"/>
                <w:b w:val="0"/>
                <w:bCs w:val="0"/>
                <w:i w:val="0"/>
                <w:iCs w:val="0"/>
                <w:smallCaps w:val="0"/>
                <w:strike w:val="0"/>
                <w:color w:val="ff0000"/>
                <w:sz w:val="24"/>
                <w:szCs w:val="24"/>
                <w:u w:val="none"/>
                <w:shd w:fill="auto" w:val="clear"/>
                <w:vertAlign w:val="baseline"/>
                <w:rtl w:val="0"/>
              </w:rPr>
              <w:t xml:space="preserve">軋鋼</w:t>
            </w:r>
            <w:r w:rsidDel="00000000" w:rsidR="00000000" w:rsidRPr="00000000">
              <w:rPr>
                <w:rtl w:val="0"/>
              </w:rPr>
            </w:r>
          </w:p>
        </w:tc>
        <w:tc>
          <w:tcP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w:t>
            </w:r>
          </w:p>
        </w:tc>
        <w:tc>
          <w:tcP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w:t>
            </w:r>
          </w:p>
        </w:tc>
        <w:tc>
          <w:tcP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KTS-308L</w:t>
            </w:r>
          </w:p>
        </w:tc>
        <w:tc>
          <w:tcP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w:t>
            </w:r>
          </w:p>
        </w:tc>
        <w:tc>
          <w:tcP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580</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施工</w:t>
      </w:r>
    </w:p>
    <w:p w:rsidR="00000000" w:rsidDel="00000000" w:rsidP="00000000" w:rsidRDefault="00000000" w:rsidRPr="00000000" w14:paraId="000001F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施工方法</w:t>
      </w:r>
    </w:p>
    <w:p w:rsidR="00000000" w:rsidDel="00000000" w:rsidP="00000000" w:rsidRDefault="00000000" w:rsidRPr="00000000" w14:paraId="000001F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銲接施工之標準及應注意事項 </w:t>
      </w:r>
    </w:p>
    <w:p w:rsidR="00000000" w:rsidDel="00000000" w:rsidP="00000000" w:rsidRDefault="00000000" w:rsidRPr="00000000" w14:paraId="000001F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銲接工作之方法及步驟應符合AWS D1.1之規定。</w:t>
      </w:r>
    </w:p>
    <w:p w:rsidR="00000000" w:rsidDel="00000000" w:rsidP="00000000" w:rsidRDefault="00000000" w:rsidRPr="00000000" w14:paraId="000001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構材組立時，應儘量使用工作架及輔助夾具，使能以適當姿勢從事組立前之臨時固定銲接工作。</w:t>
      </w:r>
    </w:p>
    <w:p w:rsidR="00000000" w:rsidDel="00000000" w:rsidP="00000000" w:rsidRDefault="00000000" w:rsidRPr="00000000" w14:paraId="000001F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將臨時固定銲接利用為正式銲接，應限於無缺陷者，並以儘量少用為原則。所使用之銲條及銲接姿勢，應與正式電銲時相同。所有臨時固定銲接，應於構材組立完成前，將銲渣刮除潔淨。 </w:t>
      </w:r>
    </w:p>
    <w:p w:rsidR="00000000" w:rsidDel="00000000" w:rsidP="00000000" w:rsidRDefault="00000000" w:rsidRPr="00000000" w14:paraId="000001F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電銲作業應依適當之電流、電壓及電銲速度施銲，期使銲料完全熔透而不發生缺陷。</w:t>
      </w:r>
    </w:p>
    <w:p w:rsidR="00000000" w:rsidDel="00000000" w:rsidP="00000000" w:rsidRDefault="00000000" w:rsidRPr="00000000" w14:paraId="000001F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不良、瑕庛之安全設備應予修補或廢棄，以確保作業人員安全。</w:t>
      </w:r>
    </w:p>
    <w:p w:rsidR="00000000" w:rsidDel="00000000" w:rsidP="00000000" w:rsidRDefault="00000000" w:rsidRPr="00000000" w14:paraId="000001F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使用之電纜線應設置防止漏電斷路器，以防感電災害之發生。</w:t>
      </w:r>
    </w:p>
    <w:p w:rsidR="00000000" w:rsidDel="00000000" w:rsidP="00000000" w:rsidRDefault="00000000" w:rsidRPr="00000000" w14:paraId="000001F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銲接不得使表面處理變色或扭曲。清除表面處理上之銲接殘渣及銲接之氧化物。熱處理銲接僅使用於須解除應力處。五金固定板應於現場銲接，但另有指示者除外。 </w:t>
      </w:r>
    </w:p>
    <w:p w:rsidR="00000000" w:rsidDel="00000000" w:rsidP="00000000" w:rsidRDefault="00000000" w:rsidRPr="00000000" w14:paraId="000001F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使用能減少變形並增加金屬製品底座強度及抗蝕性之材料與方法。 </w:t>
      </w:r>
    </w:p>
    <w:p w:rsidR="00000000" w:rsidDel="00000000" w:rsidP="00000000" w:rsidRDefault="00000000" w:rsidRPr="00000000" w14:paraId="000001F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銲接時必須設置防護設施，才能從事銲接工作，以防作業中之火花或噴渣引起火災。</w:t>
      </w:r>
    </w:p>
    <w:p w:rsidR="00000000" w:rsidDel="00000000" w:rsidP="00000000" w:rsidRDefault="00000000" w:rsidRPr="00000000" w14:paraId="000001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電銲作業區內，禁止人員通行與進入，以防作業中之熱燙熔液流落傷及人員。</w:t>
      </w:r>
    </w:p>
    <w:p w:rsidR="00000000" w:rsidDel="00000000" w:rsidP="00000000" w:rsidRDefault="00000000" w:rsidRPr="00000000" w14:paraId="000002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作業人員務必配戴防護眼鏡、電工用安全帽、絕緣防護具及防護衣，以防感電或眼睛受電銲強光所傷或被電銲作業中飛濺之高溫金屬碎屑灼傷;防護器具須確實檢查有否損傷，並加以保養。</w:t>
      </w:r>
    </w:p>
    <w:p w:rsidR="00000000" w:rsidDel="00000000" w:rsidP="00000000" w:rsidRDefault="00000000" w:rsidRPr="00000000" w14:paraId="000002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不得以濕手或濕操作棒操作開關。</w:t>
      </w:r>
    </w:p>
    <w:p w:rsidR="00000000" w:rsidDel="00000000" w:rsidP="00000000" w:rsidRDefault="00000000" w:rsidRPr="00000000" w14:paraId="0000020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電銲機應設接地線，二次側並應加裝防電擊裝置，以防因電銲機具漏電，電銲工感電。</w:t>
      </w:r>
    </w:p>
    <w:p w:rsidR="00000000" w:rsidDel="00000000" w:rsidP="00000000" w:rsidRDefault="00000000" w:rsidRPr="00000000" w14:paraId="000002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電纜線須確實檢查有否損傷破毀之現象，若有則需即時修補或更換之。</w:t>
      </w:r>
    </w:p>
    <w:p w:rsidR="00000000" w:rsidDel="00000000" w:rsidP="00000000" w:rsidRDefault="00000000" w:rsidRPr="00000000" w14:paraId="000002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電銲器具設備須存放于室內安全之處，避免受風吹雨淋而損傷。</w:t>
      </w:r>
    </w:p>
    <w:p w:rsidR="00000000" w:rsidDel="00000000" w:rsidP="00000000" w:rsidRDefault="00000000" w:rsidRPr="00000000" w14:paraId="000002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銲道尺寸和長度嚴禁小於設計要求和詳圖規定，嚴禁改變銲道位置。</w:t>
      </w:r>
    </w:p>
    <w:p w:rsidR="00000000" w:rsidDel="00000000" w:rsidP="00000000" w:rsidRDefault="00000000" w:rsidRPr="00000000" w14:paraId="000002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外觀檢查</w:t>
      </w:r>
    </w:p>
    <w:p w:rsidR="00000000" w:rsidDel="00000000" w:rsidP="00000000" w:rsidRDefault="00000000" w:rsidRPr="00000000" w14:paraId="000002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銲接裂痕之檢查</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銲道內及其邊緣不得有任何裂痕。</w:t>
      </w:r>
    </w:p>
    <w:p w:rsidR="00000000" w:rsidDel="00000000" w:rsidP="00000000" w:rsidRDefault="00000000" w:rsidRPr="00000000" w14:paraId="000002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銲道表面之檢查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角銲之腳長及銲喉深度，不得小於契約圖說所示之尺度。惟每一銲接線中，除兩端各50mm部分以外，銲接長度之10%範圍內腳長及銲喉之許可差為﹣1.0mm。 </w:t>
      </w:r>
    </w:p>
    <w:p w:rsidR="00000000" w:rsidDel="00000000" w:rsidP="00000000" w:rsidRDefault="00000000" w:rsidRPr="00000000" w14:paraId="000002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銲邊之檢查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銲邊燒損(Under Cut)之深度不得超過下列標準：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主要構材上與應力方向垂直之銲道止端部    許可差0.3mm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主要構材上與應力方向平行之銲道止端部    許可差0.5mm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次要構材之銲道止端部                    許可差0.8mm </w:t>
      </w:r>
    </w:p>
    <w:p w:rsidR="00000000" w:rsidDel="00000000" w:rsidP="00000000" w:rsidRDefault="00000000" w:rsidRPr="00000000" w14:paraId="000002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重疊銲接之檢查 </w:t>
      </w:r>
    </w:p>
    <w:p w:rsidR="00000000" w:rsidDel="00000000" w:rsidP="00000000" w:rsidRDefault="00000000" w:rsidRPr="00000000" w14:paraId="000002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所有銲道均不得有重疊銲接之情形存在。 </w:t>
      </w:r>
    </w:p>
    <w:p w:rsidR="00000000" w:rsidDel="00000000" w:rsidP="00000000" w:rsidRDefault="00000000" w:rsidRPr="00000000" w14:paraId="000002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所有銲道皆須進行目視檢查，必要時得要求廠商進行其他非破壞性檢驗。 </w:t>
      </w:r>
    </w:p>
    <w:p w:rsidR="00000000" w:rsidDel="00000000" w:rsidP="00000000" w:rsidRDefault="00000000" w:rsidRPr="00000000" w14:paraId="000002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銲接缺陷之整修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除契約圖說另有規定外，銲接缺陷之整修應依下表辦理：</w:t>
      </w:r>
    </w:p>
    <w:tbl>
      <w:tblPr>
        <w:tblStyle w:val="Table8"/>
        <w:tblW w:w="10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8"/>
        <w:gridCol w:w="7682"/>
        <w:tblGridChange w:id="0">
          <w:tblGrid>
            <w:gridCol w:w="2738"/>
            <w:gridCol w:w="7682"/>
          </w:tblGrid>
        </w:tblGridChange>
      </w:tblGrid>
      <w:tr>
        <w:trPr>
          <w:cantSplit w:val="0"/>
          <w:tblHeader w:val="0"/>
        </w:trPr>
        <w:tc>
          <w:tcP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缺 陷 情 形 </w:t>
            </w:r>
          </w:p>
        </w:tc>
        <w:tc>
          <w:tcP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整  修  辦  法 </w:t>
            </w:r>
          </w:p>
        </w:tc>
      </w:tr>
      <w:tr>
        <w:trPr>
          <w:cantSplit w:val="0"/>
          <w:tblHeader w:val="0"/>
        </w:trPr>
        <w:tc>
          <w:tcP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鋼料表面有明顯傷痕</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（深度＞1mm） </w:t>
            </w:r>
          </w:p>
        </w:tc>
        <w:tc>
          <w:tcP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銲接補強後，用砂輪機磨平，銲道長度應大於4cm。 </w:t>
            </w:r>
          </w:p>
        </w:tc>
      </w:tr>
      <w:tr>
        <w:trPr>
          <w:cantSplit w:val="0"/>
          <w:tblHeader w:val="0"/>
        </w:trPr>
        <w:tc>
          <w:tcP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鋼料表面有不明顯傷痕（深度≦1mm） </w:t>
            </w:r>
          </w:p>
        </w:tc>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用鋼鑿或掘槽熔切器將不良部分挖除後，銲接補強，並用砂輪機磨平。 </w:t>
            </w:r>
          </w:p>
        </w:tc>
      </w:tr>
      <w:tr>
        <w:trPr>
          <w:cantSplit w:val="0"/>
          <w:tblHeader w:val="0"/>
        </w:trPr>
        <w:tc>
          <w:tcP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鋼材端面之層狀裂痕 </w:t>
            </w:r>
          </w:p>
        </w:tc>
        <w:tc>
          <w:tcP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用掘槽熔切器將不良部分挖除約板厚1/4後銲接修補，並用砂輪機磨平。 </w:t>
            </w:r>
          </w:p>
        </w:tc>
      </w:tr>
      <w:tr>
        <w:trPr>
          <w:cantSplit w:val="0"/>
          <w:tblHeader w:val="0"/>
        </w:trPr>
        <w:tc>
          <w:tcP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弧擊(Arc-Strike) </w:t>
            </w:r>
          </w:p>
        </w:tc>
        <w:tc>
          <w:tcP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鋼料表面產生凹痕時（深度＞4mm），應銲接補強並用砂輪機磨平。如僅稍有痕跡時（深度≦4mm），用砂輪機磨平即可。銲道長度應大於4cm。 </w:t>
            </w:r>
          </w:p>
        </w:tc>
      </w:tr>
      <w:tr>
        <w:trPr>
          <w:cantSplit w:val="0"/>
          <w:tblHeader w:val="0"/>
        </w:trPr>
        <w:tc>
          <w:tcP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銲道表面凹痕 </w:t>
            </w:r>
          </w:p>
        </w:tc>
        <w:tc>
          <w:tcP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用掘槽熔切器將不良部分挖除後重銲，銲道長度應大於4cm。 </w:t>
            </w:r>
          </w:p>
        </w:tc>
      </w:tr>
      <w:tr>
        <w:trPr>
          <w:cantSplit w:val="0"/>
          <w:tblHeader w:val="0"/>
        </w:trPr>
        <w:tc>
          <w:tcP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重疊銲接 </w:t>
            </w:r>
          </w:p>
        </w:tc>
        <w:tc>
          <w:tcP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用砂輪機磨平。</w:t>
            </w:r>
          </w:p>
        </w:tc>
      </w:tr>
      <w:tr>
        <w:trPr>
          <w:cantSplit w:val="0"/>
          <w:tblHeader w:val="0"/>
        </w:trPr>
        <w:tc>
          <w:tcP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銲道表面之凹凸 </w:t>
            </w:r>
          </w:p>
        </w:tc>
        <w:tc>
          <w:tcP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用砂輪機磨平。</w:t>
            </w:r>
          </w:p>
        </w:tc>
      </w:tr>
      <w:tr>
        <w:trPr>
          <w:cantSplit w:val="0"/>
          <w:tblHeader w:val="0"/>
        </w:trPr>
        <w:tc>
          <w:tcP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銲邊燒損 </w:t>
            </w:r>
          </w:p>
        </w:tc>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銲接補強後磨平，銲道長度應大於4cm。</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內部檢驗</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主要構件且於工地銲接之銲道應依下列規定進行檢驗：</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CNS 13021鋼結構銲道目視檢測法</w:t>
      </w:r>
    </w:p>
    <w:p w:rsidR="00000000" w:rsidDel="00000000" w:rsidP="00000000" w:rsidRDefault="00000000" w:rsidRPr="00000000" w14:paraId="000002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檢驗事項</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檢查處之距離應盡量平均，並應特別注意轉角處、斷面變化處、節點及較易產生銲接缺陷處。</w:t>
      </w:r>
    </w:p>
    <w:p w:rsidR="00000000" w:rsidDel="00000000" w:rsidP="00000000" w:rsidRDefault="00000000" w:rsidRPr="00000000" w14:paraId="000002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不合格品處理</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檢查結果若不合格則應加倍取樣重檢，如再發現有不合格者，應對所有接頭全部檢驗。不合格之銲道應一律剷除重銲，並再進行檢測。</w:t>
      </w:r>
    </w:p>
    <w:p w:rsidR="00000000" w:rsidDel="00000000" w:rsidP="00000000" w:rsidRDefault="00000000" w:rsidRPr="00000000" w14:paraId="000002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銲接人員資格</w:t>
      </w:r>
    </w:p>
    <w:p w:rsidR="00000000" w:rsidDel="00000000" w:rsidP="00000000" w:rsidRDefault="00000000" w:rsidRPr="00000000" w14:paraId="000002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93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銲接施工與銲道檢測經驗3年以上</w:t>
      </w:r>
    </w:p>
    <w:p w:rsidR="00000000" w:rsidDel="00000000" w:rsidP="00000000" w:rsidRDefault="00000000" w:rsidRPr="00000000" w14:paraId="000002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93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丙級一般手工電銲技術士</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8" w:type="default"/>
      <w:footerReference r:id="rId9"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DFKai-SB"/>
  <w:font w:name="PMingLiu"/>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文件編號</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NO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WO-T01</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總 頁 數</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共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9  頁</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WO-T01</w:t>
          </w:r>
        </w:p>
      </w:tc>
      <w:tc>
        <w:tcPr>
          <w:gridSpan w:val="3"/>
          <w:tcBorders>
            <w:top w:color="000000" w:space="0" w:sz="0" w:val="nil"/>
          </w:tcBorders>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載運輪椅使用者車輛</w:t>
            <w:br w:type="textWrapping"/>
            <w:t xml:space="preserve">銲接規範</w:t>
          </w:r>
        </w:p>
      </w:tc>
    </w:tr>
    <w:tr>
      <w:trPr>
        <w:cantSplit w:val="1"/>
        <w:trHeight w:val="360" w:hRule="atLeast"/>
        <w:tblHeader w:val="0"/>
      </w:trPr>
      <w:tc>
        <w:tcP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DATE</w:t>
          </w:r>
        </w:p>
      </w:tc>
      <w:tc>
        <w:tcP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2020/02/15</w:t>
          </w:r>
        </w:p>
      </w:tc>
      <w:tc>
        <w:tcP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w:t>
          </w:r>
        </w:p>
      </w:tc>
      <w:tc>
        <w:tcP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9 頁</w:t>
          </w:r>
        </w:p>
      </w:tc>
    </w:tr>
  </w:tbl>
  <w:p w:rsidR="00000000" w:rsidDel="00000000" w:rsidP="00000000" w:rsidRDefault="00000000" w:rsidRPr="00000000" w14:paraId="00000255">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decimal"/>
      <w:lvlText w:val="%1)"/>
      <w:lvlJc w:val="left"/>
      <w:pPr>
        <w:ind w:left="936" w:hanging="360"/>
      </w:pPr>
      <w:rPr>
        <w:vertAlign w:val="baseline"/>
      </w:rPr>
    </w:lvl>
    <w:lvl w:ilvl="1">
      <w:start w:val="1"/>
      <w:numFmt w:val="lowerLetter"/>
      <w:lvlText w:val="%2."/>
      <w:lvlJc w:val="left"/>
      <w:pPr>
        <w:ind w:left="1656" w:hanging="360"/>
      </w:pPr>
      <w:rPr>
        <w:vertAlign w:val="baseline"/>
      </w:rPr>
    </w:lvl>
    <w:lvl w:ilvl="2">
      <w:start w:val="1"/>
      <w:numFmt w:val="lowerRoman"/>
      <w:lvlText w:val="%3."/>
      <w:lvlJc w:val="right"/>
      <w:pPr>
        <w:ind w:left="2376" w:hanging="180"/>
      </w:pPr>
      <w:rPr>
        <w:vertAlign w:val="baseline"/>
      </w:rPr>
    </w:lvl>
    <w:lvl w:ilvl="3">
      <w:start w:val="1"/>
      <w:numFmt w:val="decimal"/>
      <w:lvlText w:val="%4."/>
      <w:lvlJc w:val="left"/>
      <w:pPr>
        <w:ind w:left="3096" w:hanging="360"/>
      </w:pPr>
      <w:rPr>
        <w:vertAlign w:val="baseline"/>
      </w:rPr>
    </w:lvl>
    <w:lvl w:ilvl="4">
      <w:start w:val="1"/>
      <w:numFmt w:val="lowerLetter"/>
      <w:lvlText w:val="%5."/>
      <w:lvlJc w:val="left"/>
      <w:pPr>
        <w:ind w:left="3816" w:hanging="360"/>
      </w:pPr>
      <w:rPr>
        <w:vertAlign w:val="baseline"/>
      </w:rPr>
    </w:lvl>
    <w:lvl w:ilvl="5">
      <w:start w:val="1"/>
      <w:numFmt w:val="lowerRoman"/>
      <w:lvlText w:val="%6."/>
      <w:lvlJc w:val="right"/>
      <w:pPr>
        <w:ind w:left="4536" w:hanging="180"/>
      </w:pPr>
      <w:rPr>
        <w:vertAlign w:val="baseline"/>
      </w:rPr>
    </w:lvl>
    <w:lvl w:ilvl="6">
      <w:start w:val="1"/>
      <w:numFmt w:val="decimal"/>
      <w:lvlText w:val="%7."/>
      <w:lvlJc w:val="left"/>
      <w:pPr>
        <w:ind w:left="5256" w:hanging="360"/>
      </w:pPr>
      <w:rPr>
        <w:vertAlign w:val="baseline"/>
      </w:rPr>
    </w:lvl>
    <w:lvl w:ilvl="7">
      <w:start w:val="1"/>
      <w:numFmt w:val="lowerLetter"/>
      <w:lvlText w:val="%8."/>
      <w:lvlJc w:val="left"/>
      <w:pPr>
        <w:ind w:left="5976" w:hanging="360"/>
      </w:pPr>
      <w:rPr>
        <w:vertAlign w:val="baseline"/>
      </w:rPr>
    </w:lvl>
    <w:lvl w:ilvl="8">
      <w:start w:val="1"/>
      <w:numFmt w:val="lowerRoman"/>
      <w:lvlText w:val="%9."/>
      <w:lvlJc w:val="right"/>
      <w:pPr>
        <w:ind w:left="6696" w:hanging="180"/>
      </w:pPr>
      <w:rPr>
        <w:vertAlign w:val="baseline"/>
      </w:rPr>
    </w:lvl>
  </w:abstractNum>
  <w:abstractNum w:abstractNumId="3">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
    <w:lvl w:ilvl="0">
      <w:start w:val="1"/>
      <w:numFmt w:val="decimal"/>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
    <w:lvl w:ilvl="0">
      <w:start w:val="1"/>
      <w:numFmt w:val="decimal"/>
      <w:lvlText w:val="%1)"/>
      <w:lvlJc w:val="left"/>
      <w:pPr>
        <w:ind w:left="840" w:hanging="360"/>
      </w:pPr>
      <w:rPr>
        <w:vertAlign w:val="baseline"/>
      </w:rPr>
    </w:lvl>
    <w:lvl w:ilvl="1">
      <w:start w:val="1"/>
      <w:numFmt w:val="lowerLetter"/>
      <w:lvlText w:val="%2."/>
      <w:lvlJc w:val="left"/>
      <w:pPr>
        <w:ind w:left="1560" w:hanging="360"/>
      </w:pPr>
      <w:rPr>
        <w:vertAlign w:val="baseline"/>
      </w:rPr>
    </w:lvl>
    <w:lvl w:ilvl="2">
      <w:start w:val="1"/>
      <w:numFmt w:val="lowerRoman"/>
      <w:lvlText w:val="%3."/>
      <w:lvlJc w:val="right"/>
      <w:pPr>
        <w:ind w:left="2280" w:hanging="180"/>
      </w:pPr>
      <w:rPr>
        <w:vertAlign w:val="baseline"/>
      </w:rPr>
    </w:lvl>
    <w:lvl w:ilvl="3">
      <w:start w:val="1"/>
      <w:numFmt w:val="decimal"/>
      <w:lvlText w:val="%4."/>
      <w:lvlJc w:val="left"/>
      <w:pPr>
        <w:ind w:left="3000" w:hanging="360"/>
      </w:pPr>
      <w:rPr>
        <w:vertAlign w:val="baseline"/>
      </w:rPr>
    </w:lvl>
    <w:lvl w:ilvl="4">
      <w:start w:val="1"/>
      <w:numFmt w:val="lowerLetter"/>
      <w:lvlText w:val="%5."/>
      <w:lvlJc w:val="left"/>
      <w:pPr>
        <w:ind w:left="3720" w:hanging="360"/>
      </w:pPr>
      <w:rPr>
        <w:vertAlign w:val="baseline"/>
      </w:rPr>
    </w:lvl>
    <w:lvl w:ilvl="5">
      <w:start w:val="1"/>
      <w:numFmt w:val="lowerRoman"/>
      <w:lvlText w:val="%6."/>
      <w:lvlJc w:val="right"/>
      <w:pPr>
        <w:ind w:left="4440" w:hanging="180"/>
      </w:pPr>
      <w:rPr>
        <w:vertAlign w:val="baseline"/>
      </w:rPr>
    </w:lvl>
    <w:lvl w:ilvl="6">
      <w:start w:val="1"/>
      <w:numFmt w:val="decimal"/>
      <w:lvlText w:val="%7."/>
      <w:lvlJc w:val="left"/>
      <w:pPr>
        <w:ind w:left="5160" w:hanging="360"/>
      </w:pPr>
      <w:rPr>
        <w:vertAlign w:val="baseline"/>
      </w:rPr>
    </w:lvl>
    <w:lvl w:ilvl="7">
      <w:start w:val="1"/>
      <w:numFmt w:val="lowerLetter"/>
      <w:lvlText w:val="%8."/>
      <w:lvlJc w:val="left"/>
      <w:pPr>
        <w:ind w:left="5880" w:hanging="360"/>
      </w:pPr>
      <w:rPr>
        <w:vertAlign w:val="baseline"/>
      </w:rPr>
    </w:lvl>
    <w:lvl w:ilvl="8">
      <w:start w:val="1"/>
      <w:numFmt w:val="lowerRoman"/>
      <w:lvlText w:val="%9."/>
      <w:lvlJc w:val="right"/>
      <w:pPr>
        <w:ind w:left="6600" w:hanging="180"/>
      </w:pPr>
      <w:rPr>
        <w:vertAlign w:val="baseline"/>
      </w:rPr>
    </w:lvl>
  </w:abstractNum>
  <w:abstractNum w:abstractNumId="6">
    <w:lvl w:ilvl="0">
      <w:start w:val="1"/>
      <w:numFmt w:val="decimal"/>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7">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8">
    <w:lvl w:ilvl="0">
      <w:start w:val="1"/>
      <w:numFmt w:val="decimal"/>
      <w:lvlText w:val="%1)"/>
      <w:lvlJc w:val="left"/>
      <w:pPr>
        <w:ind w:left="840" w:hanging="360"/>
      </w:pPr>
      <w:rPr>
        <w:vertAlign w:val="baseline"/>
      </w:rPr>
    </w:lvl>
    <w:lvl w:ilvl="1">
      <w:start w:val="1"/>
      <w:numFmt w:val="lowerLetter"/>
      <w:lvlText w:val="%2."/>
      <w:lvlJc w:val="left"/>
      <w:pPr>
        <w:ind w:left="1560" w:hanging="360"/>
      </w:pPr>
      <w:rPr>
        <w:vertAlign w:val="baseline"/>
      </w:rPr>
    </w:lvl>
    <w:lvl w:ilvl="2">
      <w:start w:val="1"/>
      <w:numFmt w:val="lowerRoman"/>
      <w:lvlText w:val="%3."/>
      <w:lvlJc w:val="right"/>
      <w:pPr>
        <w:ind w:left="2280" w:hanging="180"/>
      </w:pPr>
      <w:rPr>
        <w:vertAlign w:val="baseline"/>
      </w:rPr>
    </w:lvl>
    <w:lvl w:ilvl="3">
      <w:start w:val="1"/>
      <w:numFmt w:val="decimal"/>
      <w:lvlText w:val="%4."/>
      <w:lvlJc w:val="left"/>
      <w:pPr>
        <w:ind w:left="3000" w:hanging="360"/>
      </w:pPr>
      <w:rPr>
        <w:vertAlign w:val="baseline"/>
      </w:rPr>
    </w:lvl>
    <w:lvl w:ilvl="4">
      <w:start w:val="1"/>
      <w:numFmt w:val="lowerLetter"/>
      <w:lvlText w:val="%5."/>
      <w:lvlJc w:val="left"/>
      <w:pPr>
        <w:ind w:left="3720" w:hanging="360"/>
      </w:pPr>
      <w:rPr>
        <w:vertAlign w:val="baseline"/>
      </w:rPr>
    </w:lvl>
    <w:lvl w:ilvl="5">
      <w:start w:val="1"/>
      <w:numFmt w:val="lowerRoman"/>
      <w:lvlText w:val="%6."/>
      <w:lvlJc w:val="right"/>
      <w:pPr>
        <w:ind w:left="4440" w:hanging="180"/>
      </w:pPr>
      <w:rPr>
        <w:vertAlign w:val="baseline"/>
      </w:rPr>
    </w:lvl>
    <w:lvl w:ilvl="6">
      <w:start w:val="1"/>
      <w:numFmt w:val="decimal"/>
      <w:lvlText w:val="%7."/>
      <w:lvlJc w:val="left"/>
      <w:pPr>
        <w:ind w:left="5160" w:hanging="360"/>
      </w:pPr>
      <w:rPr>
        <w:vertAlign w:val="baseline"/>
      </w:rPr>
    </w:lvl>
    <w:lvl w:ilvl="7">
      <w:start w:val="1"/>
      <w:numFmt w:val="lowerLetter"/>
      <w:lvlText w:val="%8."/>
      <w:lvlJc w:val="left"/>
      <w:pPr>
        <w:ind w:left="5880" w:hanging="360"/>
      </w:pPr>
      <w:rPr>
        <w:vertAlign w:val="baseline"/>
      </w:rPr>
    </w:lvl>
    <w:lvl w:ilvl="8">
      <w:start w:val="1"/>
      <w:numFmt w:val="lowerRoman"/>
      <w:lvlText w:val="%9."/>
      <w:lvlJc w:val="right"/>
      <w:pPr>
        <w:ind w:left="6600" w:hanging="180"/>
      </w:pPr>
      <w:rPr>
        <w:vertAlign w:val="baseline"/>
      </w:rPr>
    </w:lvl>
  </w:abstractNum>
  <w:abstractNum w:abstractNumId="9">
    <w:lvl w:ilvl="0">
      <w:start w:val="1"/>
      <w:numFmt w:val="decimal"/>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