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8160.0" w:type="dxa"/>
        <w:jc w:val="left"/>
        <w:tblInd w:w="720.0" w:type="dxa"/>
        <w:tblLayout w:type="fixed"/>
        <w:tblLook w:val="0000"/>
      </w:tblPr>
      <w:tblGrid>
        <w:gridCol w:w="1920"/>
        <w:gridCol w:w="6240"/>
        <w:tblGridChange w:id="0">
          <w:tblGrid>
            <w:gridCol w:w="1920"/>
            <w:gridCol w:w="6240"/>
          </w:tblGrid>
        </w:tblGridChange>
      </w:tblGrid>
      <w:tr>
        <w:trPr>
          <w:cantSplit w:val="0"/>
          <w:trHeight w:val="349" w:hRule="atLeast"/>
          <w:tblHeader w:val="0"/>
        </w:trPr>
        <w:tc>
          <w:tcP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6"/>
                <w:szCs w:val="36"/>
                <w:u w:val="none"/>
                <w:shd w:fill="auto" w:val="clear"/>
                <w:vertAlign w:val="baseline"/>
                <w:rtl w:val="0"/>
              </w:rPr>
              <w:t xml:space="preserve">文件名稱：</w:t>
            </w:r>
          </w:p>
        </w:tc>
        <w:tc>
          <w:tcPr>
            <w:tcBorders>
              <w:bottom w:color="000000" w:space="0" w:sz="4" w:val="single"/>
            </w:tcBorders>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6"/>
                <w:szCs w:val="36"/>
                <w:u w:val="none"/>
                <w:shd w:fill="auto" w:val="clear"/>
                <w:vertAlign w:val="baseline"/>
                <w:rtl w:val="0"/>
              </w:rPr>
              <w:t xml:space="preserve">委外加工作業管理辦法</w:t>
            </w:r>
          </w:p>
        </w:tc>
      </w:tr>
      <w:tr>
        <w:trPr>
          <w:cantSplit w:val="0"/>
          <w:trHeight w:val="472" w:hRule="atLeast"/>
          <w:tblHeader w:val="0"/>
        </w:trPr>
        <w:tc>
          <w:tcP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6"/>
                <w:szCs w:val="36"/>
                <w:u w:val="none"/>
                <w:shd w:fill="auto" w:val="clear"/>
                <w:vertAlign w:val="baseline"/>
                <w:rtl w:val="0"/>
              </w:rPr>
              <w:t xml:space="preserve">制訂部門：</w:t>
            </w:r>
          </w:p>
        </w:tc>
        <w:tc>
          <w:tcPr>
            <w:tcBorders>
              <w:top w:color="000000" w:space="0" w:sz="4" w:val="single"/>
              <w:bottom w:color="000000" w:space="0" w:sz="4" w:val="single"/>
            </w:tcBorders>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6"/>
                <w:szCs w:val="36"/>
                <w:u w:val="none"/>
                <w:shd w:fill="auto" w:val="clear"/>
                <w:vertAlign w:val="baseline"/>
                <w:rtl w:val="0"/>
              </w:rPr>
              <w:t xml:space="preserve">管理單位</w:t>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文 件 制 修 訂 紀 錄</w:t>
      </w:r>
    </w:p>
    <w:tbl>
      <w:tblPr>
        <w:tblStyle w:val="Table2"/>
        <w:tblW w:w="977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
        <w:gridCol w:w="1494"/>
        <w:gridCol w:w="5044"/>
        <w:gridCol w:w="1817"/>
        <w:gridCol w:w="851"/>
        <w:tblGridChange w:id="0">
          <w:tblGrid>
            <w:gridCol w:w="567"/>
            <w:gridCol w:w="1494"/>
            <w:gridCol w:w="5044"/>
            <w:gridCol w:w="1817"/>
            <w:gridCol w:w="851"/>
          </w:tblGrid>
        </w:tblGridChange>
      </w:tblGrid>
      <w:tr>
        <w:trPr>
          <w:cantSplit w:val="0"/>
          <w:tblHeader w:val="0"/>
        </w:trPr>
        <w:tc>
          <w:tcPr>
            <w:vAlign w:val="top"/>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NO</w:t>
            </w:r>
            <w:r w:rsidDel="00000000" w:rsidR="00000000" w:rsidRPr="00000000">
              <w:rPr>
                <w:rtl w:val="0"/>
              </w:rPr>
            </w:r>
          </w:p>
        </w:tc>
        <w:tc>
          <w:tcP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發行日期</w:t>
            </w:r>
          </w:p>
        </w:tc>
        <w:tc>
          <w:tcP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制修訂內容</w:t>
            </w:r>
          </w:p>
        </w:tc>
        <w:tc>
          <w:tcP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修訂頁次</w:t>
            </w:r>
          </w:p>
        </w:tc>
        <w:tc>
          <w:tcP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版本</w:t>
            </w:r>
          </w:p>
        </w:tc>
      </w:tr>
      <w:tr>
        <w:trPr>
          <w:cantSplit w:val="0"/>
          <w:tblHeader w:val="0"/>
        </w:trPr>
        <w:tc>
          <w:tcPr>
            <w:vAlign w:val="top"/>
          </w:tcPr>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2016/12/01</w:t>
            </w:r>
          </w:p>
        </w:tc>
        <w:tc>
          <w:tcP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初版</w:t>
            </w:r>
          </w:p>
        </w:tc>
        <w:tc>
          <w:tcP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tc>
        <w:tc>
          <w:tcP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2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01</w:t>
            </w:r>
          </w:p>
        </w:tc>
      </w:tr>
      <w:tr>
        <w:trPr>
          <w:cantSplit w:val="0"/>
          <w:tblHeader w:val="0"/>
        </w:trPr>
        <w:tc>
          <w:tcPr>
            <w:vAlign w:val="top"/>
          </w:tcPr>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2020/02/15</w:t>
            </w:r>
          </w:p>
        </w:tc>
        <w:tc>
          <w:tcP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更新 4.10、6.5</w:t>
            </w:r>
          </w:p>
        </w:tc>
        <w:tc>
          <w:tcP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pp01-02</w:t>
            </w:r>
          </w:p>
        </w:tc>
        <w:tc>
          <w:tcP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2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02</w:t>
            </w:r>
          </w:p>
        </w:tc>
      </w:tr>
      <w:tr>
        <w:trPr>
          <w:cantSplit w:val="0"/>
          <w:tblHeader w:val="0"/>
        </w:trPr>
        <w:tc>
          <w:tcPr>
            <w:vAlign w:val="top"/>
          </w:tcPr>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2021/03/15</w:t>
            </w:r>
          </w:p>
        </w:tc>
        <w:tc>
          <w:tcP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更新4.3-.5、4.8、4.10、6.5-6.7</w:t>
            </w:r>
          </w:p>
        </w:tc>
        <w:tc>
          <w:tcP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pp01-02</w:t>
            </w:r>
          </w:p>
        </w:tc>
        <w:tc>
          <w:tcP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03</w:t>
            </w:r>
          </w:p>
        </w:tc>
      </w:tr>
      <w:tr>
        <w:trPr>
          <w:cantSplit w:val="0"/>
          <w:tblHeader w:val="0"/>
        </w:trPr>
        <w:tc>
          <w:tcPr>
            <w:vAlign w:val="top"/>
          </w:tcPr>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ff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2022/7/15</w:t>
            </w:r>
          </w:p>
        </w:tc>
        <w:tc>
          <w:tcP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8"/>
                <w:szCs w:val="28"/>
                <w:u w:val="none"/>
                <w:shd w:fill="auto" w:val="clear"/>
                <w:vertAlign w:val="baseline"/>
                <w:rtl w:val="0"/>
              </w:rPr>
              <w:t xml:space="preserve">更新4.3、4.4、6.3、6.7</w:t>
            </w:r>
          </w:p>
        </w:tc>
        <w:tc>
          <w:tcP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420"/>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pp01-02</w:t>
            </w:r>
          </w:p>
        </w:tc>
        <w:tc>
          <w:tcP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04</w:t>
            </w:r>
          </w:p>
        </w:tc>
      </w:tr>
      <w:tr>
        <w:trPr>
          <w:cantSplit w:val="0"/>
          <w:tblHeader w:val="0"/>
        </w:trPr>
        <w:tc>
          <w:tcPr>
            <w:vAlign w:val="top"/>
          </w:tcPr>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3"/>
        <w:tblW w:w="9693.0" w:type="dxa"/>
        <w:jc w:val="left"/>
        <w:tblInd w:w="2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8"/>
        <w:gridCol w:w="2520"/>
        <w:gridCol w:w="2400"/>
        <w:gridCol w:w="2225"/>
        <w:tblGridChange w:id="0">
          <w:tblGrid>
            <w:gridCol w:w="2548"/>
            <w:gridCol w:w="2520"/>
            <w:gridCol w:w="2400"/>
            <w:gridCol w:w="2225"/>
          </w:tblGrid>
        </w:tblGridChange>
      </w:tblGrid>
      <w:tr>
        <w:trPr>
          <w:cantSplit w:val="0"/>
          <w:tblHeader w:val="0"/>
        </w:trPr>
        <w:tc>
          <w:tcP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發   行</w:t>
            </w:r>
          </w:p>
        </w:tc>
        <w:tc>
          <w:tcP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核    准</w:t>
            </w:r>
          </w:p>
        </w:tc>
        <w:tc>
          <w:tcP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審    查</w:t>
            </w:r>
          </w:p>
        </w:tc>
        <w:tc>
          <w:tcP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制    訂</w:t>
            </w:r>
          </w:p>
        </w:tc>
      </w:tr>
      <w:tr>
        <w:trPr>
          <w:cantSplit w:val="0"/>
          <w:trHeight w:val="1974" w:hRule="atLeast"/>
          <w:tblHeader w:val="0"/>
        </w:trPr>
        <w:tc>
          <w:tcP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6" w:type="default"/>
          <w:footerReference r:id="rId7" w:type="default"/>
          <w:pgSz w:h="16838" w:w="11906" w:orient="portrait"/>
          <w:pgMar w:bottom="1418" w:top="1418" w:left="851" w:right="851" w:header="851" w:footer="641"/>
          <w:pgNumType w:start="0"/>
        </w:sectPr>
      </w:pP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1080"/>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目的：建立委外加工之標準作業程序，獲得與協力廠商之良好配合，以充分供應生產需求。</w:t>
      </w:r>
    </w:p>
    <w:p w:rsidR="00000000" w:rsidDel="00000000" w:rsidP="00000000" w:rsidRDefault="00000000" w:rsidRPr="00000000" w14:paraId="0000004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適用範圍：本公司所有委外加工作業。</w:t>
      </w:r>
    </w:p>
    <w:p w:rsidR="00000000" w:rsidDel="00000000" w:rsidP="00000000" w:rsidRDefault="00000000" w:rsidRPr="00000000" w14:paraId="000000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定義：無。</w:t>
      </w:r>
    </w:p>
    <w:p w:rsidR="00000000" w:rsidDel="00000000" w:rsidP="00000000" w:rsidRDefault="00000000" w:rsidRPr="00000000" w14:paraId="000000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作業說明：</w:t>
      </w:r>
    </w:p>
    <w:p w:rsidR="00000000" w:rsidDel="00000000" w:rsidP="00000000" w:rsidRDefault="00000000" w:rsidRPr="00000000" w14:paraId="0000004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委外加工作業應考量廠商之產能狀況與供貨品質能力，自合格供應廠商名錄中，選擇最合適之供應廠商做為外包之對象。</w:t>
      </w:r>
    </w:p>
    <w:p w:rsidR="00000000" w:rsidDel="00000000" w:rsidP="00000000" w:rsidRDefault="00000000" w:rsidRPr="00000000" w14:paraId="0000004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業務單位接到任何訂單時，應轉交業務助理製作「訂購憑單」，廠務單位依公司產品編號的品名規格判斷由內部製造或委外加工之項目。</w:t>
      </w:r>
    </w:p>
    <w:p w:rsidR="00000000" w:rsidDel="00000000" w:rsidP="00000000" w:rsidRDefault="00000000" w:rsidRPr="00000000" w14:paraId="0000004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生管人員一旦判斷此訂單須委外加工，應根據顧客需求先行研擬委外加工之委託廠商、材料規格、發包及交貨日期、數量，並</w:t>
      </w: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依據</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廠內製令</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律定委外物料</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，經單位主管簽核後提交相關單位進行委外加工作業。</w:t>
      </w:r>
    </w:p>
    <w:p w:rsidR="00000000" w:rsidDel="00000000" w:rsidP="00000000" w:rsidRDefault="00000000" w:rsidRPr="00000000" w14:paraId="0000005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廠內製令</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律定委外物料</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經單位主管簽核後即可發包。若本公司需提供原物料進行加工，則依「產品及物料防護管理辦法」（QP-S04）處理。</w:t>
      </w:r>
    </w:p>
    <w:p w:rsidR="00000000" w:rsidDel="00000000" w:rsidP="00000000" w:rsidRDefault="00000000" w:rsidRPr="00000000" w14:paraId="0000005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委外前，廠務單位可依實際需求提供委外加工廠商相關作業指導文件或圖面，對廠商之生產負責人員進行指導。</w:t>
      </w:r>
    </w:p>
    <w:p w:rsidR="00000000" w:rsidDel="00000000" w:rsidP="00000000" w:rsidRDefault="00000000" w:rsidRPr="00000000" w14:paraId="0000005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外包廠商原則上應依委外加工程序，於預定完成之日期交貨或施工，如因特殊情況而導致延遲交貨，則須告知相關人員。</w:t>
      </w:r>
    </w:p>
    <w:p w:rsidR="00000000" w:rsidDel="00000000" w:rsidP="00000000" w:rsidRDefault="00000000" w:rsidRPr="00000000" w14:paraId="0000005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在委外加工作業進行時，委外加工採購人員須依所決定之交期及相關內容，做好進度之控管和跟催。</w:t>
      </w:r>
    </w:p>
    <w:p w:rsidR="00000000" w:rsidDel="00000000" w:rsidP="00000000" w:rsidRDefault="00000000" w:rsidRPr="00000000" w14:paraId="0000005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333333"/>
          <w:sz w:val="24"/>
          <w:szCs w:val="24"/>
          <w:u w:val="none"/>
          <w:shd w:fill="auto" w:val="clear"/>
        </w:rPr>
      </w:pPr>
      <w:r w:rsidDel="00000000" w:rsidR="00000000" w:rsidRPr="00000000">
        <w:rPr>
          <w:rFonts w:ascii="DFKai-SB" w:cs="DFKai-SB" w:eastAsia="DFKai-SB" w:hAnsi="DFKai-SB"/>
          <w:b w:val="0"/>
          <w:bCs w:val="0"/>
          <w:i w:val="0"/>
          <w:iCs w:val="0"/>
          <w:smallCaps w:val="0"/>
          <w:strike w:val="0"/>
          <w:color w:val="333333"/>
          <w:sz w:val="24"/>
          <w:szCs w:val="24"/>
          <w:u w:val="none"/>
          <w:shd w:fill="auto" w:val="clear"/>
          <w:vertAlign w:val="baseline"/>
          <w:rtl w:val="0"/>
        </w:rPr>
        <w:t xml:space="preserve">委外加工品於驗收或檢驗時</w:t>
      </w:r>
      <w:bookmarkStart w:colFirst="0" w:colLast="0" w:name="bqgbu3y6e93i" w:id="0"/>
      <w:bookmarkEnd w:id="0"/>
      <w:r w:rsidDel="00000000" w:rsidR="00000000" w:rsidRPr="00000000">
        <w:rPr>
          <w:rFonts w:ascii="DFKai-SB" w:cs="DFKai-SB" w:eastAsia="DFKai-SB" w:hAnsi="DFKai-SB"/>
          <w:b w:val="0"/>
          <w:bCs w:val="0"/>
          <w:i w:val="0"/>
          <w:iCs w:val="0"/>
          <w:smallCaps w:val="0"/>
          <w:strike w:val="0"/>
          <w:color w:val="333333"/>
          <w:sz w:val="24"/>
          <w:szCs w:val="24"/>
          <w:u w:val="none"/>
          <w:shd w:fill="auto" w:val="clear"/>
          <w:vertAlign w:val="baseline"/>
          <w:rtl w:val="0"/>
        </w:rPr>
        <w:t xml:space="preserve">應依「檢驗作業規範」（WC-T01）辦理，並將檢驗結果記錄於</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「委外自主檢查表」（TB-S26），</w:t>
      </w:r>
      <w:r w:rsidDel="00000000" w:rsidR="00000000" w:rsidRPr="00000000">
        <w:rPr>
          <w:rFonts w:ascii="DFKai-SB" w:cs="DFKai-SB" w:eastAsia="DFKai-SB" w:hAnsi="DFKai-SB"/>
          <w:b w:val="0"/>
          <w:bCs w:val="0"/>
          <w:i w:val="0"/>
          <w:iCs w:val="0"/>
          <w:smallCaps w:val="0"/>
          <w:strike w:val="0"/>
          <w:color w:val="333333"/>
          <w:sz w:val="24"/>
          <w:szCs w:val="24"/>
          <w:u w:val="none"/>
          <w:shd w:fill="auto" w:val="clear"/>
          <w:vertAlign w:val="baseline"/>
          <w:rtl w:val="0"/>
        </w:rPr>
        <w:t xml:space="preserve">不合格須依「不合格品管理辦法」（QP-T04）處理。</w:t>
      </w:r>
    </w:p>
    <w:p w:rsidR="00000000" w:rsidDel="00000000" w:rsidP="00000000" w:rsidRDefault="00000000" w:rsidRPr="00000000" w14:paraId="0000005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委外加工完成後，委外加工採購人員需請倉管依據「採購憑單」開立「進貨</w:t>
      </w: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憑</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單」。</w:t>
      </w:r>
    </w:p>
    <w:p w:rsidR="00000000" w:rsidDel="00000000" w:rsidP="00000000" w:rsidRDefault="00000000" w:rsidRPr="00000000" w14:paraId="0000005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333333"/>
          <w:sz w:val="24"/>
          <w:szCs w:val="24"/>
          <w:u w:val="none"/>
          <w:shd w:fill="auto" w:val="clear"/>
        </w:rPr>
      </w:pPr>
      <w:r w:rsidDel="00000000" w:rsidR="00000000" w:rsidRPr="00000000">
        <w:rPr>
          <w:rFonts w:ascii="DFKai-SB" w:cs="DFKai-SB" w:eastAsia="DFKai-SB" w:hAnsi="DFKai-SB"/>
          <w:b w:val="0"/>
          <w:bCs w:val="0"/>
          <w:i w:val="0"/>
          <w:iCs w:val="0"/>
          <w:smallCaps w:val="0"/>
          <w:strike w:val="0"/>
          <w:color w:val="333333"/>
          <w:sz w:val="24"/>
          <w:szCs w:val="24"/>
          <w:u w:val="none"/>
          <w:shd w:fill="auto" w:val="clear"/>
          <w:vertAlign w:val="baseline"/>
          <w:rtl w:val="0"/>
        </w:rPr>
        <w:t xml:space="preserve">車輛運輸人員依需求安排委外運輸，運</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輸廠商在執行運輸前或後，由交車人員與運輸廠商檢查車輛的外觀，並將檢查結果填寫「車輛驗收單」（TB-T09）內，避免日後產生的爭</w:t>
      </w:r>
      <w:r w:rsidDel="00000000" w:rsidR="00000000" w:rsidRPr="00000000">
        <w:rPr>
          <w:rFonts w:ascii="DFKai-SB" w:cs="DFKai-SB" w:eastAsia="DFKai-SB" w:hAnsi="DFKai-SB"/>
          <w:b w:val="0"/>
          <w:bCs w:val="0"/>
          <w:i w:val="0"/>
          <w:iCs w:val="0"/>
          <w:smallCaps w:val="0"/>
          <w:strike w:val="0"/>
          <w:color w:val="333333"/>
          <w:sz w:val="24"/>
          <w:szCs w:val="24"/>
          <w:u w:val="none"/>
          <w:shd w:fill="auto" w:val="clear"/>
          <w:vertAlign w:val="baseline"/>
          <w:rtl w:val="0"/>
        </w:rPr>
        <w:t xml:space="preserve">議。</w:t>
      </w:r>
    </w:p>
    <w:p w:rsidR="00000000" w:rsidDel="00000000" w:rsidP="00000000" w:rsidRDefault="00000000" w:rsidRPr="00000000" w14:paraId="000000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1174" w:right="0" w:hanging="1174"/>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參考文件：</w:t>
      </w:r>
    </w:p>
    <w:p w:rsidR="00000000" w:rsidDel="00000000" w:rsidP="00000000" w:rsidRDefault="00000000" w:rsidRPr="00000000" w14:paraId="0000005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產品及物料防護管理辦法（QP-S04）</w:t>
      </w:r>
    </w:p>
    <w:p w:rsidR="00000000" w:rsidDel="00000000" w:rsidP="00000000" w:rsidRDefault="00000000" w:rsidRPr="00000000" w14:paraId="0000005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不合格品管理辦法（QP-T04）</w:t>
      </w:r>
    </w:p>
    <w:p w:rsidR="00000000" w:rsidDel="00000000" w:rsidP="00000000" w:rsidRDefault="00000000" w:rsidRPr="00000000" w14:paraId="0000005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檢驗作業規範（WC-T01）</w:t>
      </w:r>
    </w:p>
    <w:p w:rsidR="00000000" w:rsidDel="00000000" w:rsidP="00000000" w:rsidRDefault="00000000" w:rsidRPr="00000000" w14:paraId="0000005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1174" w:right="0" w:hanging="1174"/>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應用表單：</w:t>
      </w:r>
    </w:p>
    <w:p w:rsidR="00000000" w:rsidDel="00000000" w:rsidP="00000000" w:rsidRDefault="00000000" w:rsidRPr="00000000" w14:paraId="0000005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訂購憑單（資訊系統）</w:t>
      </w:r>
    </w:p>
    <w:p w:rsidR="00000000" w:rsidDel="00000000" w:rsidP="00000000" w:rsidRDefault="00000000" w:rsidRPr="00000000" w14:paraId="0000005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採購憑單（資訊系統）</w:t>
      </w:r>
    </w:p>
    <w:p w:rsidR="00000000" w:rsidDel="00000000" w:rsidP="00000000" w:rsidRDefault="00000000" w:rsidRPr="00000000" w14:paraId="0000005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進貨</w:t>
      </w: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憑</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單（資訊系統）</w:t>
      </w:r>
    </w:p>
    <w:p w:rsidR="00000000" w:rsidDel="00000000" w:rsidP="00000000" w:rsidRDefault="00000000" w:rsidRPr="00000000" w14:paraId="0000005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333333"/>
          <w:sz w:val="24"/>
          <w:szCs w:val="24"/>
          <w:u w:val="none"/>
          <w:shd w:fill="auto" w:val="clear"/>
        </w:rPr>
      </w:pPr>
      <w:r w:rsidDel="00000000" w:rsidR="00000000" w:rsidRPr="00000000">
        <w:rPr>
          <w:rFonts w:ascii="DFKai-SB" w:cs="DFKai-SB" w:eastAsia="DFKai-SB" w:hAnsi="DFKai-SB"/>
          <w:b w:val="0"/>
          <w:bCs w:val="0"/>
          <w:i w:val="0"/>
          <w:iCs w:val="0"/>
          <w:smallCaps w:val="0"/>
          <w:strike w:val="0"/>
          <w:color w:val="333333"/>
          <w:sz w:val="24"/>
          <w:szCs w:val="24"/>
          <w:u w:val="none"/>
          <w:shd w:fill="auto" w:val="clear"/>
          <w:vertAlign w:val="baseline"/>
          <w:rtl w:val="0"/>
        </w:rPr>
        <w:t xml:space="preserve">自主檢查表（TB-T05）</w:t>
      </w:r>
    </w:p>
    <w:p w:rsidR="00000000" w:rsidDel="00000000" w:rsidP="00000000" w:rsidRDefault="00000000" w:rsidRPr="00000000" w14:paraId="0000006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車輛驗收單（TB-T09）</w:t>
      </w:r>
    </w:p>
    <w:p w:rsidR="00000000" w:rsidDel="00000000" w:rsidP="00000000" w:rsidRDefault="00000000" w:rsidRPr="00000000" w14:paraId="0000006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委外自主檢查表 (TB-S26)</w:t>
      </w:r>
    </w:p>
    <w:p w:rsidR="00000000" w:rsidDel="00000000" w:rsidP="00000000" w:rsidRDefault="00000000" w:rsidRPr="00000000" w14:paraId="0000006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ff0000"/>
          <w:sz w:val="24"/>
          <w:szCs w:val="24"/>
          <w:u w:val="none"/>
          <w:shd w:fill="auto" w:val="clear"/>
        </w:rPr>
      </w:pP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廠內製令律定委外物料（資訊系統）</w:t>
      </w:r>
    </w:p>
    <w:sectPr>
      <w:headerReference r:id="rId8" w:type="default"/>
      <w:footerReference r:id="rId9" w:type="default"/>
      <w:type w:val="nextPage"/>
      <w:pgSz w:h="16838" w:w="11906" w:orient="portrait"/>
      <w:pgMar w:bottom="1418" w:top="1418" w:left="851" w:right="851" w:header="902" w:footer="64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DFKai-SB"/>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0"/>
      <w:pBdr>
        <w:top w:color="000000" w:space="1" w:sz="4" w:val="single"/>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bl>
    <w:tblPr>
      <w:tblStyle w:val="Table4"/>
      <w:tblW w:w="10236.0" w:type="dxa"/>
      <w:jc w:val="left"/>
      <w:tblInd w:w="-28.0" w:type="dxa"/>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000"/>
    </w:tblPr>
    <w:tblGrid>
      <w:gridCol w:w="1588"/>
      <w:gridCol w:w="4800"/>
      <w:gridCol w:w="1680"/>
      <w:gridCol w:w="2168"/>
      <w:tblGridChange w:id="0">
        <w:tblGrid>
          <w:gridCol w:w="1588"/>
          <w:gridCol w:w="4800"/>
          <w:gridCol w:w="1680"/>
          <w:gridCol w:w="2168"/>
        </w:tblGrid>
      </w:tblGridChange>
    </w:tblGrid>
    <w:tr>
      <w:trPr>
        <w:cantSplit w:val="1"/>
        <w:trHeight w:val="405" w:hRule="atLeast"/>
        <w:tblHeader w:val="0"/>
      </w:trPr>
      <w:tc>
        <w:tcPr>
          <w:vMerge w:val="restart"/>
          <w:tcBorders>
            <w:top w:color="000000" w:space="0" w:sz="12" w:val="single"/>
            <w:left w:color="000000" w:space="0" w:sz="12" w:val="single"/>
            <w:bottom w:color="000000" w:space="0" w:sz="12" w:val="single"/>
            <w:right w:color="000000" w:space="0" w:sz="0" w:val="nil"/>
          </w:tcBorders>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755015" cy="647065"/>
                <wp:effectExtent b="0" l="0" r="0" t="0"/>
                <wp:docPr descr="未命名 - 1" id="1" name="image1.jpg"/>
                <a:graphic>
                  <a:graphicData uri="http://schemas.openxmlformats.org/drawingml/2006/picture">
                    <pic:pic>
                      <pic:nvPicPr>
                        <pic:cNvPr descr="未命名 - 1" id="0" name="image1.jpg"/>
                        <pic:cNvPicPr preferRelativeResize="0"/>
                      </pic:nvPicPr>
                      <pic:blipFill>
                        <a:blip r:embed="rId1"/>
                        <a:srcRect b="0" l="0" r="0" t="0"/>
                        <a:stretch>
                          <a:fillRect/>
                        </a:stretch>
                      </pic:blipFill>
                      <pic:spPr>
                        <a:xfrm>
                          <a:off x="0" y="0"/>
                          <a:ext cx="755015" cy="647065"/>
                        </a:xfrm>
                        <a:prstGeom prst="rect"/>
                        <a:ln/>
                      </pic:spPr>
                    </pic:pic>
                  </a:graphicData>
                </a:graphic>
              </wp:inline>
            </w:drawing>
          </w:r>
          <w:r w:rsidDel="00000000" w:rsidR="00000000" w:rsidRPr="00000000">
            <w:rPr>
              <w:rtl w:val="0"/>
            </w:rPr>
          </w:r>
        </w:p>
      </w:tc>
      <w:tc>
        <w:tcPr>
          <w:vMerge w:val="restart"/>
          <w:tcBorders>
            <w:top w:color="000000" w:space="0" w:sz="12" w:val="single"/>
            <w:left w:color="000000" w:space="0" w:sz="0" w:val="nil"/>
            <w:bottom w:color="000000" w:space="0" w:sz="12" w:val="single"/>
          </w:tcBorders>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台灣福祉科技/台日福祉/</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台灣福祉車業有限公司</w:t>
          </w:r>
          <w:r w:rsidDel="00000000" w:rsidR="00000000" w:rsidRPr="00000000">
            <w:rPr>
              <w:rtl w:val="0"/>
            </w:rPr>
          </w:r>
        </w:p>
      </w:tc>
      <w:tc>
        <w:tcPr>
          <w:tcBorders>
            <w:top w:color="000000" w:space="0" w:sz="12" w:val="single"/>
          </w:tcBorders>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文件編號</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 NO</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000000" w:space="0" w:sz="12" w:val="single"/>
            <w:right w:color="000000" w:space="0" w:sz="12" w:val="single"/>
          </w:tcBorders>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QP-S09</w:t>
          </w:r>
        </w:p>
      </w:tc>
    </w:tr>
    <w:tr>
      <w:trPr>
        <w:cantSplit w:val="1"/>
        <w:trHeight w:val="405" w:hRule="atLeast"/>
        <w:tblHeader w:val="0"/>
      </w:trPr>
      <w:tc>
        <w:tcPr>
          <w:vMerge w:val="continue"/>
          <w:tcBorders>
            <w:top w:color="000000" w:space="0" w:sz="12" w:val="single"/>
            <w:left w:color="000000" w:space="0" w:sz="12" w:val="single"/>
            <w:bottom w:color="000000" w:space="0" w:sz="12" w:val="single"/>
            <w:right w:color="000000" w:space="0" w:sz="0" w:val="nil"/>
          </w:tcBorders>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12" w:val="single"/>
            <w:left w:color="000000" w:space="0" w:sz="0" w:val="nil"/>
            <w:bottom w:color="000000" w:space="0" w:sz="12" w:val="single"/>
          </w:tcBorders>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總 頁 數</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TOTAL PAGE</w:t>
          </w:r>
          <w:r w:rsidDel="00000000" w:rsidR="00000000" w:rsidRPr="00000000">
            <w:rPr>
              <w:rtl w:val="0"/>
            </w:rPr>
          </w:r>
        </w:p>
      </w:tc>
      <w:tc>
        <w:tcPr>
          <w:tcBorders>
            <w:bottom w:color="000000" w:space="0" w:sz="12" w:val="single"/>
            <w:right w:color="000000" w:space="0" w:sz="12" w:val="single"/>
          </w:tcBorders>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共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- 1 2  頁</w:t>
          </w:r>
        </w:p>
      </w:tc>
    </w:tr>
  </w:tbl>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10238.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3958"/>
      <w:gridCol w:w="1084"/>
      <w:gridCol w:w="480"/>
      <w:gridCol w:w="1142"/>
      <w:gridCol w:w="1984"/>
      <w:tblGridChange w:id="0">
        <w:tblGrid>
          <w:gridCol w:w="1590"/>
          <w:gridCol w:w="3958"/>
          <w:gridCol w:w="1084"/>
          <w:gridCol w:w="480"/>
          <w:gridCol w:w="1142"/>
          <w:gridCol w:w="1984"/>
        </w:tblGrid>
      </w:tblGridChange>
    </w:tblGrid>
    <w:tr>
      <w:trPr>
        <w:cantSplit w:val="1"/>
        <w:trHeight w:val="100" w:hRule="atLeast"/>
        <w:tblHeader w:val="0"/>
      </w:trPr>
      <w:tc>
        <w:tcPr>
          <w:vMerge w:val="restart"/>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755015" cy="647065"/>
                <wp:effectExtent b="0" l="0" r="0" t="0"/>
                <wp:docPr descr="未命名 - 1" id="2" name="image1.jpg"/>
                <a:graphic>
                  <a:graphicData uri="http://schemas.openxmlformats.org/drawingml/2006/picture">
                    <pic:pic>
                      <pic:nvPicPr>
                        <pic:cNvPr descr="未命名 - 1" id="0" name="image1.jpg"/>
                        <pic:cNvPicPr preferRelativeResize="0"/>
                      </pic:nvPicPr>
                      <pic:blipFill>
                        <a:blip r:embed="rId1"/>
                        <a:srcRect b="0" l="0" r="0" t="0"/>
                        <a:stretch>
                          <a:fillRect/>
                        </a:stretch>
                      </pic:blipFill>
                      <pic:spPr>
                        <a:xfrm>
                          <a:off x="0" y="0"/>
                          <a:ext cx="755015" cy="647065"/>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台灣福祉科技/台日福祉/</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台灣福祉車業有限公司</w:t>
          </w:r>
          <w:r w:rsidDel="00000000" w:rsidR="00000000" w:rsidRPr="00000000">
            <w:rPr>
              <w:rtl w:val="0"/>
            </w:rPr>
          </w:r>
        </w:p>
      </w:tc>
      <w:tc>
        <w:tcPr>
          <w:tcBorders>
            <w:bottom w:color="000000" w:space="0" w:sz="0" w:val="nil"/>
          </w:tcBorders>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文件編號</w:t>
          </w:r>
        </w:p>
      </w:tc>
      <w:tc>
        <w:tcPr>
          <w:gridSpan w:val="3"/>
          <w:tcBorders>
            <w:bottom w:color="000000" w:space="0" w:sz="0" w:val="nil"/>
          </w:tcBorders>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文件名稱</w:t>
          </w:r>
        </w:p>
      </w:tc>
    </w:tr>
    <w:tr>
      <w:trPr>
        <w:cantSplit w:val="1"/>
        <w:trHeight w:val="500" w:hRule="atLeast"/>
        <w:tblHeader w:val="0"/>
      </w:trPr>
      <w:tc>
        <w:tcPr>
          <w:vMerge w:val="continue"/>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QP-S09</w:t>
          </w:r>
        </w:p>
      </w:tc>
      <w:tc>
        <w:tcPr>
          <w:gridSpan w:val="3"/>
          <w:tcBorders>
            <w:top w:color="000000" w:space="0" w:sz="0" w:val="nil"/>
          </w:tcBorders>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委外加工作業管理辦法</w:t>
          </w:r>
        </w:p>
      </w:tc>
    </w:tr>
    <w:tr>
      <w:trPr>
        <w:cantSplit w:val="1"/>
        <w:trHeight w:val="360" w:hRule="atLeast"/>
        <w:tblHeader w:val="0"/>
      </w:trPr>
      <w:tc>
        <w:tcP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DATE</w:t>
          </w:r>
        </w:p>
      </w:tc>
      <w:tc>
        <w:tcP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2022/7/15</w:t>
          </w:r>
          <w:r w:rsidDel="00000000" w:rsidR="00000000" w:rsidRPr="00000000">
            <w:rPr>
              <w:rtl w:val="0"/>
            </w:rPr>
          </w:r>
        </w:p>
      </w:tc>
      <w:tc>
        <w:tcPr>
          <w:vAlign w:val="center"/>
        </w:tcPr>
        <w:p w:rsidR="00000000" w:rsidDel="00000000" w:rsidP="00000000" w:rsidRDefault="00000000" w:rsidRPr="00000000" w14:paraId="0000008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版本</w:t>
          </w:r>
        </w:p>
      </w:tc>
      <w:tc>
        <w:tcP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04</w:t>
          </w:r>
        </w:p>
      </w:tc>
      <w:tc>
        <w:tcP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w:t>
          </w:r>
        </w:p>
      </w:tc>
      <w:tc>
        <w:tcP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第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- 1 2 頁</w:t>
          </w:r>
        </w:p>
      </w:tc>
    </w:tr>
  </w:tbl>
  <w:p w:rsidR="00000000" w:rsidDel="00000000" w:rsidP="00000000" w:rsidRDefault="00000000" w:rsidRPr="00000000" w14:paraId="00000084">
    <w:pPr>
      <w:keepNext w:val="0"/>
      <w:keepLines w:val="0"/>
      <w:pageBreakBefore w:val="0"/>
      <w:widowControl w:val="0"/>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48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2">
    <w:lvl w:ilvl="0">
      <w:start w:val="1"/>
      <w:numFmt w:val="decimal"/>
      <w:lvlText w:val="%1"/>
      <w:lvlJc w:val="left"/>
      <w:pPr>
        <w:ind w:left="113" w:hanging="113"/>
      </w:pPr>
      <w:rPr>
        <w:vertAlign w:val="baseline"/>
      </w:rPr>
    </w:lvl>
    <w:lvl w:ilvl="1">
      <w:start w:val="1"/>
      <w:numFmt w:val="decimal"/>
      <w:lvlText w:val="%1.%2"/>
      <w:lvlJc w:val="left"/>
      <w:pPr>
        <w:ind w:left="992" w:hanging="567"/>
      </w:pPr>
      <w:rPr>
        <w:vertAlign w:val="baseline"/>
      </w:rPr>
    </w:lvl>
    <w:lvl w:ilvl="2">
      <w:start w:val="1"/>
      <w:numFmt w:val="decimal"/>
      <w:lvlText w:val="%1.%2.%3"/>
      <w:lvlJc w:val="left"/>
      <w:pPr>
        <w:ind w:left="1418" w:hanging="566.9999999999999"/>
      </w:pPr>
      <w:rPr>
        <w:rFonts w:ascii="Times New Roman" w:cs="Times New Roman" w:eastAsia="Times New Roman" w:hAnsi="Times New Roman"/>
        <w:vertAlign w:val="baseline"/>
      </w:rPr>
    </w:lvl>
    <w:lvl w:ilvl="3">
      <w:start w:val="1"/>
      <w:numFmt w:val="decimal"/>
      <w:lvlText w:val="%1.%2.%3.%4"/>
      <w:lvlJc w:val="left"/>
      <w:pPr>
        <w:ind w:left="2554" w:hanging="707.9999999999998"/>
      </w:pPr>
      <w:rPr>
        <w:strike w:val="0"/>
        <w:color w:val="000000"/>
        <w:vertAlign w:val="baseline"/>
      </w:rPr>
    </w:lvl>
    <w:lvl w:ilvl="4">
      <w:start w:val="1"/>
      <w:numFmt w:val="decimal"/>
      <w:lvlText w:val="%1.%2.%3.%4.%5"/>
      <w:lvlJc w:val="left"/>
      <w:pPr>
        <w:ind w:left="2551" w:hanging="850"/>
      </w:pPr>
      <w:rPr>
        <w:vertAlign w:val="baseline"/>
      </w:rPr>
    </w:lvl>
    <w:lvl w:ilvl="5">
      <w:start w:val="1"/>
      <w:numFmt w:val="decimal"/>
      <w:lvlText w:val="%1.%2.%3.%4.%5.%6"/>
      <w:lvlJc w:val="left"/>
      <w:pPr>
        <w:ind w:left="3260" w:hanging="1134"/>
      </w:pPr>
      <w:rPr>
        <w:vertAlign w:val="baseline"/>
      </w:rPr>
    </w:lvl>
    <w:lvl w:ilvl="6">
      <w:start w:val="1"/>
      <w:numFmt w:val="decimal"/>
      <w:lvlText w:val="%1.%2.%3.%4.%5.%6.%7"/>
      <w:lvlJc w:val="left"/>
      <w:pPr>
        <w:ind w:left="3827" w:hanging="1276"/>
      </w:pPr>
      <w:rPr>
        <w:vertAlign w:val="baseline"/>
      </w:rPr>
    </w:lvl>
    <w:lvl w:ilvl="7">
      <w:start w:val="1"/>
      <w:numFmt w:val="decimal"/>
      <w:lvlText w:val="%1.%2.%3.%4.%5.%6.%7.%8"/>
      <w:lvlJc w:val="left"/>
      <w:pPr>
        <w:ind w:left="4394" w:hanging="1418.0000000000005"/>
      </w:pPr>
      <w:rPr>
        <w:vertAlign w:val="baseline"/>
      </w:rPr>
    </w:lvl>
    <w:lvl w:ilvl="8">
      <w:start w:val="1"/>
      <w:numFmt w:val="decimal"/>
      <w:lvlText w:val="%1.%2.%3.%4.%5.%6.%7.%8.%9"/>
      <w:lvlJc w:val="left"/>
      <w:pPr>
        <w:ind w:left="5102" w:hanging="170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28.0" w:type="dxa"/>
        <w:bottom w:w="0.0" w:type="dxa"/>
        <w:right w:w="28.0" w:type="dxa"/>
      </w:tblCellMar>
    </w:tblPr>
  </w:style>
  <w:style w:type="table" w:styleId="Table2">
    <w:basedOn w:val="TableNormal"/>
    <w:tblPr>
      <w:tblStyleRowBandSize w:val="1"/>
      <w:tblStyleColBandSize w:val="1"/>
      <w:tblCellMar>
        <w:top w:w="0.0" w:type="dxa"/>
        <w:left w:w="28.0" w:type="dxa"/>
        <w:bottom w:w="0.0" w:type="dxa"/>
        <w:right w:w="28.0" w:type="dxa"/>
      </w:tblCellMar>
    </w:tblPr>
  </w:style>
  <w:style w:type="table" w:styleId="Table3">
    <w:basedOn w:val="TableNormal"/>
    <w:tblPr>
      <w:tblStyleRowBandSize w:val="1"/>
      <w:tblStyleColBandSize w:val="1"/>
      <w:tblCellMar>
        <w:top w:w="0.0" w:type="dxa"/>
        <w:left w:w="28.0" w:type="dxa"/>
        <w:bottom w:w="0.0" w:type="dxa"/>
        <w:right w:w="28.0" w:type="dxa"/>
      </w:tblCellMar>
    </w:tblPr>
  </w:style>
  <w:style w:type="table" w:styleId="Table4">
    <w:basedOn w:val="TableNormal"/>
    <w:tblPr>
      <w:tblStyleRowBandSize w:val="1"/>
      <w:tblStyleColBandSize w:val="1"/>
      <w:tblCellMar>
        <w:top w:w="0.0" w:type="dxa"/>
        <w:left w:w="28.0" w:type="dxa"/>
        <w:bottom w:w="0.0" w:type="dxa"/>
        <w:right w:w="28.0" w:type="dxa"/>
      </w:tblCellMar>
    </w:tblPr>
  </w:style>
  <w:style w:type="table" w:styleId="Table5">
    <w:basedOn w:val="TableNormal"/>
    <w:tblPr>
      <w:tblStyleRowBandSize w:val="1"/>
      <w:tblStyleColBandSize w:val="1"/>
      <w:tblCellMar>
        <w:top w:w="0.0" w:type="dxa"/>
        <w:left w:w="28.0" w:type="dxa"/>
        <w:bottom w:w="0.0" w:type="dxa"/>
        <w:right w:w="2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