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內部品質稽核管理辦法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管理單位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2019/10/31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8"/>
                <w:szCs w:val="28"/>
                <w:vertAlign w:val="baseline"/>
                <w:rtl w:val="0"/>
              </w:rPr>
              <w:t xml:space="preserve">更新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4.6.1、6.4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2024/09/25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8"/>
                <w:szCs w:val="28"/>
                <w:vertAlign w:val="baseline"/>
                <w:rtl w:val="0"/>
              </w:rPr>
              <w:t xml:space="preserve">更新4.2.2、4.3.1、4.5.2、4.5.4、4.6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jc w:val="both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pp1,2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before="12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目的：為使本公司之品質制度能有效推行及進行獨立性之查驗，進而確定品質制度符合預先設定的目標並達成最大效益。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適用範圍：全公司之品質系統運作下所涵蓋之相關單位皆適用之。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定義：無。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稽核人員資格：稽核人員應接受外部或內部「稽核之相關課程訓練」經核定合格者，且其職務須與受稽核單位無直接責任。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內部稽核時機：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定期內部稽核：每年至少實施一次。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不定期內部稽核：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最高管理階層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視實際需要可臨時實施，以隨時確保本公司品質制度推行之有效。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內部稽核規劃：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內部稽核計劃：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每年年底由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最高管理階層指派計劃人員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擬定「品質稽核計劃表」（TB-S14），呈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最高管理階層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核准。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稽核小組召集人由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最高管理階層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擔任，須於預定實施稽核月份前一個月請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計劃人員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將「品質稽核計畫表」（TB-S14）分發給各受稽核單位及稽核人員。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稽核項目依據：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「ISO 9001」品質管理系統之各項要求。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本公司各相關品質文件等規定。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對前次稽核所發現缺失之矯正與預防措施做成果追蹤及稽核。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實施稽核：稽核人員將稽核所發現之缺失記載於「內部稽核檢查報告」（TB-S15），並注意以下事項：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受稽核人員應全力配合作業之進行。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稽核工作應客觀公正，不逾越稽核範圍。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涉及機密之資料或文件，稽核人員應妥善保護。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稽核時所觀察到不合格項目皆應做成記錄，並需「受稽核單位主管」同意。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內部稽核檢查報告最後須呈總經理簽核。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改善對策檢討：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內部稽核檢查報告內容需經「受稽核單位主管」簽章確認。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稽核員需將稽核時所發現之缺失開立「內部稽核缺點矯正表」（TB-S16）予缺失單位，由該單位主管於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議定時間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內回覆缺失原因分析、矯正措施。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稽核員於填寫「內部稽核缺點矯正表」（TB-S16）時應詳加說明其不符合規定之情事，以利後續追蹤改善。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最高管理階層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對稽核所發現之缺失，會影響品質制度運作重大事項者，則可召開管理審查會議提出檢討和改善措施。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結果跟催：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各部門主管應根據「內部稽核缺點矯正表」（TB-S16）所提出之矯正措施及預防措施，並於預定完成日期前完成改善，由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最高管理階層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負責追蹤結果並由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文管人員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予以記錄至內部稽核矯正單管理表（TB-S20）。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如各部門主管在期限之內未到達預期改善成果或未加以改善時，應將原因填入「內部稽核缺點矯正表」（TB-S16）中呈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最高管理階層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裁示，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最高管理階層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須對後續改善措施做持續監督與跟催。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歸檔：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內部稽核之文件依「品質記錄管理辦法」（QP-S02）歸檔。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稽核時所發現之缺點列為下次稽核重點。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品質記錄管理辦法（QP-S02）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品質稽核計劃表（TB-S14）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內部稽核檢查報告（TB-S15）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內部稽核缺點矯正表（TB-S16）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內部稽核矯正單管理表（TB-S20）</w:t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75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76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7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QP-S10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A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7B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C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2  頁</w:t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82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83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8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QP-S10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9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內部品質稽核管理辦法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C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8D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2024/09/25</w:t>
          </w:r>
        </w:p>
      </w:tc>
      <w:tc>
        <w:tcPr>
          <w:vAlign w:val="center"/>
        </w:tcPr>
        <w:p w:rsidR="00000000" w:rsidDel="00000000" w:rsidP="00000000" w:rsidRDefault="00000000" w:rsidRPr="00000000" w14:paraId="0000008E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8F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03</w:t>
          </w:r>
        </w:p>
      </w:tc>
      <w:tc>
        <w:tcPr>
          <w:vAlign w:val="center"/>
        </w:tcPr>
        <w:p w:rsidR="00000000" w:rsidDel="00000000" w:rsidP="00000000" w:rsidRDefault="00000000" w:rsidRPr="00000000" w14:paraId="00000090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91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2 頁</w:t>
          </w:r>
        </w:p>
      </w:tc>
    </w:tr>
  </w:tbl>
  <w:p w:rsidR="00000000" w:rsidDel="00000000" w:rsidP="00000000" w:rsidRDefault="00000000" w:rsidRPr="00000000" w14:paraId="00000092">
    <w:pPr>
      <w:pBdr>
        <w:bottom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rFonts w:ascii="Times New Roman" w:cs="Times New Roman" w:eastAsia="Times New Roman" w:hAnsi="Times New Roman"/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