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1310640</wp:posOffset>
            </wp:positionH>
            <wp:positionV relativeFrom="paragraph">
              <wp:posOffset>-235584</wp:posOffset>
            </wp:positionV>
            <wp:extent cx="3565525" cy="525780"/>
            <wp:effectExtent b="0" l="0" r="0" t="0"/>
            <wp:wrapTopAndBottom distB="0" dist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5525" cy="5257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rFonts w:ascii="DFKai-SB" w:cs="DFKai-SB" w:eastAsia="DFKai-SB" w:hAnsi="DFKai-SB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sz w:val="32"/>
          <w:szCs w:val="32"/>
          <w:rtl w:val="0"/>
        </w:rPr>
        <w:t xml:space="preserve">車輛頂高機定期檢查表（每三個月）</w:t>
      </w:r>
    </w:p>
    <w:p w:rsidR="00000000" w:rsidDel="00000000" w:rsidP="00000000" w:rsidRDefault="00000000" w:rsidRPr="00000000" w14:paraId="00000003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編號：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    E007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0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設備名稱/位置：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車輛頂高機 / 樹八廠  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                    檢查日期：　　 年　　 月</w:t>
      </w:r>
    </w:p>
    <w:p w:rsidR="00000000" w:rsidDel="00000000" w:rsidP="00000000" w:rsidRDefault="00000000" w:rsidRPr="00000000" w14:paraId="00000005">
      <w:pPr>
        <w:spacing w:line="30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tbl>
      <w:tblPr>
        <w:tblStyle w:val="Table1"/>
        <w:tblW w:w="9746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31"/>
        <w:gridCol w:w="4011"/>
        <w:gridCol w:w="1538"/>
        <w:gridCol w:w="692"/>
        <w:gridCol w:w="795"/>
        <w:gridCol w:w="879"/>
        <w:tblGridChange w:id="0">
          <w:tblGrid>
            <w:gridCol w:w="1831"/>
            <w:gridCol w:w="4011"/>
            <w:gridCol w:w="1538"/>
            <w:gridCol w:w="692"/>
            <w:gridCol w:w="795"/>
            <w:gridCol w:w="879"/>
          </w:tblGrid>
        </w:tblGridChange>
      </w:tblGrid>
      <w:tr>
        <w:trPr>
          <w:cantSplit w:val="1"/>
          <w:trHeight w:val="536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6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項次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7">
            <w:pPr>
              <w:spacing w:line="240" w:lineRule="auto"/>
              <w:ind w:left="289" w:right="284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 　  查　   項   　目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8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 查 方 法</w:t>
            </w:r>
          </w:p>
        </w:tc>
        <w:tc>
          <w:tcPr>
            <w:gridSpan w:val="2"/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spacing w:line="240" w:lineRule="auto"/>
              <w:ind w:left="113" w:right="113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檢查結果</w:t>
            </w:r>
          </w:p>
        </w:tc>
        <w:tc>
          <w:tcPr>
            <w:vMerge w:val="restart"/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0B">
            <w:pPr>
              <w:spacing w:line="240" w:lineRule="auto"/>
              <w:ind w:left="113" w:right="113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</w:tr>
      <w:tr>
        <w:trPr>
          <w:cantSplit w:val="1"/>
          <w:trHeight w:val="596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正常</w:t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異常</w:t>
            </w:r>
          </w:p>
        </w:tc>
        <w:tc>
          <w:tcPr>
            <w:vMerge w:val="continue"/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固定基座(含螺栓連接部分)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17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驅動馬達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1D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傳動鏈條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23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電磁開關(含線路配置)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29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承載荷重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外觀標示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35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0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  <w:tc>
          <w:tcPr>
            <w:gridSpan w:val="5"/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bookmarkStart w:colFirst="0" w:colLast="0" w:name="_dkwg1icamayl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         廠務：                                  檢查人員：</w:t>
      </w:r>
    </w:p>
    <w:sectPr>
      <w:pgSz w:h="16838" w:w="11906" w:orient="portrait"/>
      <w:pgMar w:bottom="899" w:top="899" w:left="1080" w:right="926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