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rtl w:val="0"/>
        </w:rPr>
        <w:t xml:space="preserve">布輪機定期檢查表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E004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布輪機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971.0" w:type="dxa"/>
        <w:jc w:val="left"/>
        <w:tblInd w:w="-2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4104"/>
        <w:gridCol w:w="1574"/>
        <w:gridCol w:w="707"/>
        <w:gridCol w:w="815"/>
        <w:gridCol w:w="899"/>
        <w:tblGridChange w:id="0">
          <w:tblGrid>
            <w:gridCol w:w="1872"/>
            <w:gridCol w:w="4104"/>
            <w:gridCol w:w="1574"/>
            <w:gridCol w:w="707"/>
            <w:gridCol w:w="815"/>
            <w:gridCol w:w="899"/>
          </w:tblGrid>
        </w:tblGridChange>
      </w:tblGrid>
      <w:tr>
        <w:trPr>
          <w:cantSplit w:val="1"/>
          <w:trHeight w:val="51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6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作業開始前運轉一分鐘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告知或標示操作者不得使用手套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切割片（布輪）更換後試運轉三分鐘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護罩擋板是否完整。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ind w:left="57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切割片（布輪）有無破裂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電動機是否正常運轉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機台及馬達是否接地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40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41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42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p w:rsidR="00000000" w:rsidDel="00000000" w:rsidP="00000000" w:rsidRDefault="00000000" w:rsidRPr="00000000" w14:paraId="00000048">
      <w:pPr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