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0</wp:posOffset>
            </wp:positionV>
            <wp:extent cx="457200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供應商評比分析表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(Supplier Rating Analysis Table)</w:t>
      </w:r>
      <w:r w:rsidDel="00000000" w:rsidR="00000000" w:rsidRPr="00000000">
        <w:rPr>
          <w:rtl w:val="0"/>
        </w:rPr>
      </w:r>
    </w:p>
    <w:tbl>
      <w:tblPr>
        <w:tblStyle w:val="Table1"/>
        <w:tblW w:w="992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"/>
        <w:gridCol w:w="657"/>
        <w:gridCol w:w="1191"/>
        <w:gridCol w:w="751"/>
        <w:gridCol w:w="1768"/>
        <w:gridCol w:w="881"/>
        <w:gridCol w:w="967"/>
        <w:gridCol w:w="1980"/>
        <w:gridCol w:w="208"/>
        <w:gridCol w:w="864"/>
        <w:gridCol w:w="76"/>
        <w:gridCol w:w="535"/>
        <w:tblGridChange w:id="0">
          <w:tblGrid>
            <w:gridCol w:w="50"/>
            <w:gridCol w:w="657"/>
            <w:gridCol w:w="1191"/>
            <w:gridCol w:w="751"/>
            <w:gridCol w:w="1768"/>
            <w:gridCol w:w="881"/>
            <w:gridCol w:w="967"/>
            <w:gridCol w:w="1980"/>
            <w:gridCol w:w="208"/>
            <w:gridCol w:w="864"/>
            <w:gridCol w:w="76"/>
            <w:gridCol w:w="535"/>
          </w:tblGrid>
        </w:tblGridChange>
      </w:tblGrid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考核期間：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日 至 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日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核准：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填表人：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填表日期：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序號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編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號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供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應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商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評比分數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評比等級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備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註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備註：評比等級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bookmarkStart w:colFirst="0" w:colLast="0" w:name="_vz7315y9ozjg" w:id="0"/>
            <w:bookmarkEnd w:id="0"/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Ａ級：80分以上 優先採購 </w:t>
              <w:br w:type="textWrapping"/>
              <w:t xml:space="preserve">Ｂ級：70~79分  維持正常採購</w:t>
              <w:br w:type="textWrapping"/>
              <w:t xml:space="preserve">Ｃ級：60~69分  減量採購</w:t>
              <w:br w:type="textWrapping"/>
              <w:t xml:space="preserve">Ｄ級：60分以下 停止採購，請供應商應提供書面改善對策方法。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794" w:top="1134" w:left="1077" w:right="10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DFKai-SB"/>
  <w:font w:name="Gungsuh"/>
  <w:font w:name="Arial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V02.TB-S10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