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1631314</wp:posOffset>
            </wp:positionH>
            <wp:positionV relativeFrom="paragraph">
              <wp:posOffset>9525</wp:posOffset>
            </wp:positionV>
            <wp:extent cx="347345" cy="30670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06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40"/>
          <w:szCs w:val="40"/>
          <w:vertAlign w:val="baseline"/>
          <w:rtl w:val="0"/>
        </w:rPr>
        <w:t xml:space="preserve">目標管理總表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(Management by Objective (MBO) Summary List)</w:t>
      </w:r>
    </w:p>
    <w:tbl>
      <w:tblPr>
        <w:tblStyle w:val="Table1"/>
        <w:tblW w:w="10915.0" w:type="dxa"/>
        <w:jc w:val="left"/>
        <w:tblLayout w:type="fixed"/>
        <w:tblLook w:val="0000"/>
      </w:tblPr>
      <w:tblGrid>
        <w:gridCol w:w="851"/>
        <w:gridCol w:w="992"/>
        <w:gridCol w:w="1276"/>
        <w:gridCol w:w="3118"/>
        <w:gridCol w:w="709"/>
        <w:gridCol w:w="2268"/>
        <w:gridCol w:w="1701"/>
        <w:tblGridChange w:id="0">
          <w:tblGrid>
            <w:gridCol w:w="851"/>
            <w:gridCol w:w="992"/>
            <w:gridCol w:w="1276"/>
            <w:gridCol w:w="3118"/>
            <w:gridCol w:w="709"/>
            <w:gridCol w:w="2268"/>
            <w:gridCol w:w="1701"/>
          </w:tblGrid>
        </w:tblGridChange>
      </w:tblGrid>
      <w:tr>
        <w:trPr>
          <w:cantSplit w:val="0"/>
          <w:trHeight w:val="1060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利害關係人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關注議題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績效指標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頻率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PMingLiu" w:cs="PMingLiu" w:eastAsia="PMingLiu" w:hAnsi="PMingLiu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目標值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2024</w:t>
            </w: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color w:val="000000"/>
                <w:vertAlign w:val="baseline"/>
                <w:rtl w:val="0"/>
              </w:rPr>
              <w:t xml:space="preserve">年實際達成狀況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顧客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顧客滿意度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銷售服務滿意度(捐贈)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90分以上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銷售服務滿意度(自用)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 80分以上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維修保養滿意度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 90分以上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2.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降低客訴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客訴比率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  10 %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以下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3.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公司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產品品質</w:t>
            </w:r>
          </w:p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優良</w:t>
            </w:r>
          </w:p>
          <w:p w:rsidR="00000000" w:rsidDel="00000000" w:rsidP="00000000" w:rsidRDefault="00000000" w:rsidRPr="00000000" w14:paraId="0000002B">
            <w:pPr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品質異常比例</w:t>
            </w:r>
          </w:p>
          <w:p w:rsidR="00000000" w:rsidDel="00000000" w:rsidP="00000000" w:rsidRDefault="00000000" w:rsidRPr="00000000" w14:paraId="0000002D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  <w:vertAlign w:val="baseline"/>
                <w:rtl w:val="0"/>
              </w:rPr>
              <w:t xml:space="preserve">(矯正與預防措施件數/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vertAlign w:val="baseline"/>
                <w:rtl w:val="0"/>
              </w:rPr>
              <w:t xml:space="preserve">銷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  <w:vertAlign w:val="baseline"/>
                <w:rtl w:val="0"/>
              </w:rPr>
              <w:t xml:space="preserve">貨數)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 3 %以下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4.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製程缺點率(輪椅升降台)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%以下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5.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製程缺點率(活動式坡道)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4.5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%以下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6.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製程缺點率(到宅沐浴車)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5 %以下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7.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交期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交貨準確率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 85 %以上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8.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產品開發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自工程完結比例</w:t>
            </w:r>
          </w:p>
          <w:p w:rsidR="00000000" w:rsidDel="00000000" w:rsidP="00000000" w:rsidRDefault="00000000" w:rsidRPr="00000000" w14:paraId="00000051">
            <w:pPr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18"/>
                <w:szCs w:val="18"/>
                <w:vertAlign w:val="baseline"/>
                <w:rtl w:val="0"/>
              </w:rPr>
              <w:t xml:space="preserve">(結案件數/開案件數)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right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9.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股東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股東權益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營業額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  4.5~5億元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10.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獲利能力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營業毛利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 18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  <w:rtl w:val="0"/>
              </w:rPr>
              <w:t xml:space="preserve">%以上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4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11.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供應商 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品質至上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廠商資格評估總分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vertAlign w:val="baseline"/>
                <w:rtl w:val="0"/>
              </w:rPr>
              <w:t xml:space="preserve">大於等於    18 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12.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如期交貨達成率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 95 %以上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13.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不良率(要驗物料)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  1 %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14.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政府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符合檢驗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違反法規件數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jc w:val="right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規範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競爭者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產品影響力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市場佔有率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  <w:vertAlign w:val="baseline"/>
                <w:rtl w:val="0"/>
              </w:rPr>
              <w:t xml:space="preserve">1.中華新得利卡</w:t>
            </w:r>
          </w:p>
          <w:p w:rsidR="00000000" w:rsidDel="00000000" w:rsidP="00000000" w:rsidRDefault="00000000" w:rsidRPr="00000000" w14:paraId="0000008B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2.現代STARIA</w:t>
            </w:r>
          </w:p>
          <w:p w:rsidR="00000000" w:rsidDel="00000000" w:rsidP="00000000" w:rsidRDefault="00000000" w:rsidRPr="00000000" w14:paraId="0000008C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3.福斯Transporter</w:t>
            </w:r>
          </w:p>
          <w:p w:rsidR="00000000" w:rsidDel="00000000" w:rsidP="00000000" w:rsidRDefault="00000000" w:rsidRPr="00000000" w14:paraId="0000008D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  <w:rtl w:val="0"/>
              </w:rPr>
              <w:t xml:space="preserve">4.福特旅玩家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每年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rPr>
                <w:rFonts w:ascii="Microsoft JhengHei" w:cs="Microsoft JhengHei" w:eastAsia="Microsoft JhengHei" w:hAnsi="Microsoft JhengHei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vertAlign w:val="baseline"/>
                <w:rtl w:val="0"/>
              </w:rPr>
              <w:t xml:space="preserve">1.     60％</w:t>
            </w:r>
          </w:p>
          <w:p w:rsidR="00000000" w:rsidDel="00000000" w:rsidP="00000000" w:rsidRDefault="00000000" w:rsidRPr="00000000" w14:paraId="00000090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2.     25%</w:t>
            </w:r>
          </w:p>
          <w:p w:rsidR="00000000" w:rsidDel="00000000" w:rsidP="00000000" w:rsidRDefault="00000000" w:rsidRPr="00000000" w14:paraId="00000091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3.     30%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1"/>
              <w:rPr>
                <w:rFonts w:ascii="Microsoft JhengHei" w:cs="Microsoft JhengHei" w:eastAsia="Microsoft JhengHei" w:hAnsi="Microsoft JhengHei"/>
                <w:color w:val="0000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ff"/>
                <w:vertAlign w:val="baseline"/>
                <w:rtl w:val="0"/>
              </w:rPr>
              <w:t xml:space="preserve">4.     30%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Microsoft JhengHei" w:cs="Microsoft JhengHei" w:eastAsia="Microsoft JhengHei" w:hAnsi="Microsoft JhengHe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19"/>
        <w:gridCol w:w="1819"/>
        <w:gridCol w:w="1819"/>
        <w:gridCol w:w="1819"/>
        <w:gridCol w:w="1819"/>
        <w:gridCol w:w="1820"/>
        <w:tblGridChange w:id="0">
          <w:tblGrid>
            <w:gridCol w:w="1819"/>
            <w:gridCol w:w="1819"/>
            <w:gridCol w:w="1819"/>
            <w:gridCol w:w="1819"/>
            <w:gridCol w:w="1819"/>
            <w:gridCol w:w="1820"/>
          </w:tblGrid>
        </w:tblGridChange>
      </w:tblGrid>
      <w:tr>
        <w:trPr>
          <w:cantSplit w:val="0"/>
          <w:trHeight w:val="749" w:hRule="atLeast"/>
          <w:tblHeader w:val="0"/>
        </w:trPr>
        <w:tc>
          <w:tcPr>
            <w:tcBorders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核准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ff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ff0000"/>
                <w:vertAlign w:val="baseline"/>
                <w:rtl w:val="0"/>
              </w:rPr>
              <w:t xml:space="preserve">最高管理階層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管理單位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廠務單位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20" w:before="120" w:lineRule="auto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業務單位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ind w:firstLine="120"/>
              <w:jc w:val="center"/>
              <w:rPr>
                <w:rFonts w:ascii="Microsoft JhengHei" w:cs="Microsoft JhengHei" w:eastAsia="Microsoft JhengHei" w:hAnsi="Microsoft JhengHei"/>
                <w:color w:val="000000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vertAlign w:val="baseline"/>
                <w:rtl w:val="0"/>
              </w:rPr>
              <w:t xml:space="preserve">品管單位</w:t>
            </w:r>
          </w:p>
        </w:tc>
      </w:tr>
      <w:tr>
        <w:trPr>
          <w:cantSplit w:val="0"/>
          <w:trHeight w:val="81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品質政策：</w:t>
      </w:r>
    </w:p>
    <w:p w:rsidR="00000000" w:rsidDel="00000000" w:rsidP="00000000" w:rsidRDefault="00000000" w:rsidRPr="00000000" w14:paraId="000000A2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顧客滿意：傾聽回饋，用心服務。</w:t>
      </w:r>
    </w:p>
    <w:p w:rsidR="00000000" w:rsidDel="00000000" w:rsidP="00000000" w:rsidRDefault="00000000" w:rsidRPr="00000000" w14:paraId="000000A3">
      <w:pPr>
        <w:rPr>
          <w:rFonts w:ascii="DFKai-SB" w:cs="DFKai-SB" w:eastAsia="DFKai-SB" w:hAnsi="DFKai-SB"/>
          <w:color w:val="0000ff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品質至上：嚴格管制，絕不妥協。</w:t>
      </w:r>
    </w:p>
    <w:p w:rsidR="00000000" w:rsidDel="00000000" w:rsidP="00000000" w:rsidRDefault="00000000" w:rsidRPr="00000000" w14:paraId="000000A4">
      <w:pPr>
        <w:rPr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ff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2024/03/25 V02. TB-S99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Arial"/>
  <w:font w:name="PMingLiu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