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台灣福祉科技有限公司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1391285</wp:posOffset>
            </wp:positionH>
            <wp:positionV relativeFrom="paragraph">
              <wp:posOffset>-25399</wp:posOffset>
            </wp:positionV>
            <wp:extent cx="444500" cy="385445"/>
            <wp:effectExtent b="0" l="0" r="0" t="0"/>
            <wp:wrapNone/>
            <wp:docPr descr="未命名 - 1" id="1" name="image1.jpg"/>
            <a:graphic>
              <a:graphicData uri="http://schemas.openxmlformats.org/drawingml/2006/picture">
                <pic:pic>
                  <pic:nvPicPr>
                    <pic:cNvPr descr="未命名 - 1"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4500" cy="38544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儀器履歷表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(Instrument History Card)</w:t>
      </w:r>
    </w:p>
    <w:tbl>
      <w:tblPr>
        <w:tblStyle w:val="Table1"/>
        <w:tblW w:w="1022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18"/>
        <w:gridCol w:w="1276"/>
        <w:gridCol w:w="172"/>
        <w:gridCol w:w="1490"/>
        <w:gridCol w:w="828"/>
        <w:gridCol w:w="662"/>
        <w:gridCol w:w="595"/>
        <w:gridCol w:w="897"/>
        <w:gridCol w:w="225"/>
        <w:gridCol w:w="1397"/>
        <w:gridCol w:w="1260"/>
        <w:tblGridChange w:id="0">
          <w:tblGrid>
            <w:gridCol w:w="1418"/>
            <w:gridCol w:w="1276"/>
            <w:gridCol w:w="172"/>
            <w:gridCol w:w="1490"/>
            <w:gridCol w:w="828"/>
            <w:gridCol w:w="662"/>
            <w:gridCol w:w="595"/>
            <w:gridCol w:w="897"/>
            <w:gridCol w:w="225"/>
            <w:gridCol w:w="1397"/>
            <w:gridCol w:w="1260"/>
          </w:tblGrid>
        </w:tblGridChange>
      </w:tblGrid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名稱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標準型雙向扭力扳手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品牌／型號／規格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品牌：FULLER</w:t>
            </w:r>
          </w:p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型號：6474470</w:t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序號：2101233998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編號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SM26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允差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±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5.0%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精度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0.5N.m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保管單位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廠務單位-江冠毅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Merge w:val="restart"/>
            <w:vAlign w:val="center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校驗類別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□內校  ■外校  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校驗週期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一年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□免校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汰換週期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十年-</w:t>
            </w:r>
          </w:p>
        </w:tc>
      </w:tr>
      <w:tr>
        <w:trPr>
          <w:cantSplit w:val="1"/>
          <w:trHeight w:val="70" w:hRule="atLeast"/>
          <w:tblHeader w:val="0"/>
        </w:trPr>
        <w:tc>
          <w:tcPr>
            <w:gridSpan w:val="11"/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送修紀錄</w:t>
            </w:r>
          </w:p>
        </w:tc>
      </w:tr>
      <w:tr>
        <w:trPr>
          <w:cantSplit w:val="1"/>
          <w:trHeight w:val="51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送修日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送修原因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完成日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維修單位／人員</w:t>
            </w:r>
          </w:p>
        </w:tc>
      </w:tr>
      <w:tr>
        <w:trPr>
          <w:cantSplit w:val="1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70" w:hRule="atLeast"/>
          <w:tblHeader w:val="0"/>
        </w:trPr>
        <w:tc>
          <w:tcPr>
            <w:gridSpan w:val="11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校驗紀錄</w:t>
            </w:r>
          </w:p>
        </w:tc>
      </w:tr>
      <w:tr>
        <w:trPr>
          <w:cantSplit w:val="1"/>
          <w:trHeight w:val="610" w:hRule="atLeast"/>
          <w:tblHeader w:val="0"/>
        </w:trPr>
        <w:tc>
          <w:tcPr>
            <w:tcBorders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校驗日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校驗單位</w:t>
            </w:r>
          </w:p>
        </w:tc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校驗內容</w:t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合格判定</w:t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判定人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預計下次校驗日期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備註</w:t>
            </w:r>
          </w:p>
        </w:tc>
      </w:tr>
      <w:tr>
        <w:trPr>
          <w:cantSplit w:val="1"/>
          <w:trHeight w:val="664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2024.09.09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CLC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CLG17517-113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OK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黃嘉鈺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2025.09.09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TAF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2025.09.09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CLC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CLG18250-114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OK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黃嘉鈺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2026.09.11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TAF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4" w:hRule="atLeast"/>
          <w:tblHeader w:val="0"/>
        </w:trPr>
        <w:tc>
          <w:tcPr>
            <w:gridSpan w:val="11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移轉紀錄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日期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移交人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移交單位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交接人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交接單位</w:t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原因備註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                                                          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2024/03/25 V02. TB-T17</w:t>
      </w:r>
    </w:p>
    <w:sectPr>
      <w:pgSz w:h="16838" w:w="11906" w:orient="portrait"/>
      <w:pgMar w:bottom="663" w:top="454" w:left="1134" w:right="567" w:header="567" w:footer="28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Gungsuh"/>
  <w:font w:name="Arial"/>
  <w:font w:name="DFKai-SB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2052-6.3.0.1705</vt:lpwstr>
  </property>
</Properties>
</file>