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400"/>
        </w:tabs>
        <w:spacing w:before="120" w:line="320" w:lineRule="auto"/>
        <w:rPr>
          <w:rFonts w:ascii="PMingLiu" w:cs="PMingLiu" w:eastAsia="PMingLiu" w:hAnsi="PMingLiu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捐贈者/客戶:受贈客戶:                                           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="320" w:lineRule="auto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引擎號碼:</w:t>
      </w:r>
      <w:r w:rsidDel="00000000" w:rsidR="00000000" w:rsidRPr="00000000">
        <w:rPr>
          <w:u w:val="single"/>
          <w:rtl w:val="0"/>
        </w:rPr>
        <w:t xml:space="preserve">           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車牌號碼:</w:t>
      </w:r>
      <w:r w:rsidDel="00000000" w:rsidR="00000000" w:rsidRPr="00000000">
        <w:rPr>
          <w:u w:val="singl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升降機序號:</w:t>
      </w:r>
      <w:r w:rsidDel="00000000" w:rsidR="00000000" w:rsidRPr="00000000">
        <w:rPr>
          <w:u w:val="single"/>
          <w:rtl w:val="0"/>
        </w:rPr>
        <w:t xml:space="preserve">                  </w:t>
      </w:r>
    </w:p>
    <w:tbl>
      <w:tblPr>
        <w:tblStyle w:val="Table1"/>
        <w:tblW w:w="10773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475"/>
        <w:gridCol w:w="952"/>
        <w:gridCol w:w="1177"/>
        <w:gridCol w:w="665"/>
        <w:gridCol w:w="769"/>
        <w:gridCol w:w="1352"/>
        <w:gridCol w:w="1414"/>
        <w:gridCol w:w="8"/>
        <w:gridCol w:w="662"/>
        <w:gridCol w:w="606"/>
        <w:gridCol w:w="142"/>
        <w:gridCol w:w="1276"/>
        <w:gridCol w:w="1281"/>
        <w:gridCol w:w="1"/>
        <w:tblGridChange w:id="0">
          <w:tblGrid>
            <w:gridCol w:w="20"/>
            <w:gridCol w:w="475"/>
            <w:gridCol w:w="952"/>
            <w:gridCol w:w="1177"/>
            <w:gridCol w:w="665"/>
            <w:gridCol w:w="769"/>
            <w:gridCol w:w="1352"/>
            <w:gridCol w:w="1414"/>
            <w:gridCol w:w="8"/>
            <w:gridCol w:w="662"/>
            <w:gridCol w:w="606"/>
            <w:gridCol w:w="142"/>
            <w:gridCol w:w="1276"/>
            <w:gridCol w:w="1281"/>
            <w:gridCol w:w="1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全車外觀車身損傷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有無刮傷、鈑金有無凹陷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車廂內上、下、左、右清潔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檢查是否髒汙、註記線是否擦乾淨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尾門兩扇內門面清潔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檢查無髒汙、註記線是否擦乾淨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尾門膠框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膠框是否平整、無殘膠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捲收式延長線(30米)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是否放置副駕座位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車窗擊破器附貼紙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是否固定於車內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滅火器及座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是否固定於車內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加熱器(煤油加熱)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清點品項確認安裝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檢查置物鐵廂是否開合是否密合順暢。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電控系統設備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溫控器是否固定車內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電壓表是否固定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清點計時器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清點蜂鳴器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清點穩壓器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清點漏電過載保護器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清點煤油錶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移動擔架設備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清點擔架一式三組，並有保護套包覆。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推動擔架前後來回作動時是否順暢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檢查架框、輪子無髒汙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手持發電機(1000W)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檢視發電機規格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檢查置物鐵廂是否開合是否密合順暢。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臭氧機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檢視臭氧機規格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檢查置物鐵廂是否開合是否密合順暢並附有鑰匙1支。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臭氧機出風口對接車廂是否有密合。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排風系統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核對渦型排風機規格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bookmarkStart w:colFirst="0" w:colLast="0" w:name="_exe5fsq4vqej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排風管是否通暢乾淨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車內清潔(含副駕座)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車內各角落是否乾淨無汙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委外-避震鋼板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是否有加裝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委外-倒車雷達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測試是否有反應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委外-隔熱紙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是否有氣泡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委外-車身貼字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檢查委外車身貼紙有與客戶圖檔相同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除蹣機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檢視除蹣機規格是否確實放置車內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輪胎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胎壓是否足夠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21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測試標準溫度及上限溫度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設定 60 ℃ 溫度達：        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設定    ℃ 溫度達：        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設定    ℃ 溫度達：        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7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23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tabs>
          <w:tab w:val="left" w:leader="none" w:pos="8945"/>
        </w:tabs>
        <w:ind w:right="-26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249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MingLiu"/>
  <w:font w:name="Gungsuh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widowControl w:val="1"/>
      <w:tabs>
        <w:tab w:val="left" w:leader="none" w:pos="6480"/>
        <w:tab w:val="right" w:leader="none" w:pos="15480"/>
      </w:tabs>
      <w:ind w:right="125" w:firstLine="128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2-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A">
    <w:pPr>
      <w:widowControl w:val="1"/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sz w:val="20"/>
        <w:szCs w:val="20"/>
        <w:rtl w:val="0"/>
      </w:rPr>
      <w:t xml:space="preserve">105/12/01 V01. TB-T04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spacing w:line="440" w:lineRule="auto"/>
      <w:jc w:val="center"/>
      <w:rPr>
        <w:sz w:val="44"/>
        <w:szCs w:val="44"/>
      </w:rPr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1392555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57">
    <w:pPr>
      <w:tabs>
        <w:tab w:val="center" w:leader="none" w:pos="5400"/>
        <w:tab w:val="left" w:leader="none" w:pos="7970"/>
      </w:tabs>
      <w:spacing w:line="440" w:lineRule="auto"/>
      <w:rPr/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ab/>
      <w:t xml:space="preserve">品質檢驗紀錄表(乾燥車輛)</w:t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2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