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E56BF" w14:textId="5AF78882" w:rsidR="00C31DA5" w:rsidRDefault="004F02C2" w:rsidP="00285C06">
      <w:pPr>
        <w:pStyle w:val="Heading1"/>
      </w:pPr>
      <w:r>
        <w:t>Q1</w:t>
      </w:r>
      <w:r w:rsidR="00285C06">
        <w:t xml:space="preserve"> </w:t>
      </w:r>
      <w:r w:rsidR="00285C06">
        <w:t>1.  How and to what extent can investment advisors/portfolio managers attempt to add value? How should Rudy Wong advise Bob Miller and the Kleins? Discuss with the lens of “behavioural finance”.  [50 marks]</w:t>
      </w:r>
    </w:p>
    <w:p w14:paraId="041053BD" w14:textId="77777777" w:rsidR="004F02C2" w:rsidRDefault="004F02C2" w:rsidP="004F02C2"/>
    <w:p w14:paraId="3BD87F2C" w14:textId="104040F6" w:rsidR="004F02C2" w:rsidRDefault="004F02C2" w:rsidP="004F02C2">
      <w:pPr>
        <w:pStyle w:val="Heading2"/>
      </w:pPr>
      <w:r>
        <w:t>Introduction</w:t>
      </w:r>
    </w:p>
    <w:p w14:paraId="4A96D0C0" w14:textId="77777777" w:rsidR="004F02C2" w:rsidRDefault="004F02C2" w:rsidP="004F02C2"/>
    <w:p w14:paraId="400357F3" w14:textId="77777777" w:rsidR="004F02C2" w:rsidRDefault="004F02C2" w:rsidP="004F02C2"/>
    <w:p w14:paraId="6D3D06D6" w14:textId="77777777" w:rsidR="004F02C2" w:rsidRDefault="004F02C2" w:rsidP="004F02C2"/>
    <w:p w14:paraId="776558F9" w14:textId="77777777" w:rsidR="004F02C2" w:rsidRDefault="004F02C2" w:rsidP="004F02C2"/>
    <w:p w14:paraId="28E09ADF" w14:textId="2AAFC23A" w:rsidR="004F02C2" w:rsidRDefault="004F02C2" w:rsidP="004F02C2">
      <w:pPr>
        <w:pStyle w:val="Heading2"/>
      </w:pPr>
      <w:r>
        <w:t>Body</w:t>
      </w:r>
    </w:p>
    <w:p w14:paraId="241612FC" w14:textId="77777777" w:rsidR="00F24D28" w:rsidRDefault="00F24D28" w:rsidP="00F24D28">
      <w:pPr>
        <w:pStyle w:val="NormalWeb"/>
      </w:pPr>
      <w:r>
        <w:t>Financial advisors contribute significant value to their clients’ portfolios through a range of expert strategies, tailored advice, and psychological insights. One of the primary ways in which advisors add value is by offering personalized financial guidance. Each client's financial goals, risk tolerance, and investment horizon are unique, and by aligning investment strategies with these individual factors, advisors foster trust and long-term relationships. This customized approach is critical in helping clients navigate market volatility and make informed decisions during times of uncertainty. For example, advisors such as Rudy Wong at O’Hagan Securities use advanced market tactics and close interaction with clients to address their concerns and manage their emotional reactions to downturns, reinforcing the advisor's role as a trusted partner. Such personalized attention provides clients with the confidence to stay committed to their long-term plans.</w:t>
      </w:r>
    </w:p>
    <w:p w14:paraId="7DE3225D" w14:textId="77777777" w:rsidR="00F24D28" w:rsidRDefault="00F24D28" w:rsidP="00F24D28">
      <w:pPr>
        <w:pStyle w:val="NormalWeb"/>
      </w:pPr>
      <w:r>
        <w:t>In addition to offering tailored advice, financial advisors play a vital role in mitigating the impact of behavioural biases that often lead to poor investment decisions. Insights from behavioural finance demonstrate how emotions, such as fear during market drops or overconfidence during rallies, can drive irrational actions. Advisors use their understanding of these psychological tendencies to guide clients toward more disciplined, logical investment strategies that focus on long-term gains rather than short-term reactions. This is especially valuable during periods of market volatility when clients are more prone to emotional decision-making. Furthermore, advisors provide comprehensive financial planning, which includes not only investment advice but also tax planning, retirement strategies, and estate management. This holistic approach ensures that clients can grow and preserve their wealth over time, enhancing their financial security across various life stages. Through these multifaceted services, advisors protect their clients' portfolios and offer the clarity needed to navigate complex financial landscapes effectively.</w:t>
      </w:r>
    </w:p>
    <w:p w14:paraId="2DC220CC" w14:textId="77777777" w:rsidR="00FF5BBB" w:rsidRDefault="00FF5BBB" w:rsidP="00FF5BBB">
      <w:pPr>
        <w:pStyle w:val="NoSpacing"/>
      </w:pPr>
      <w:r>
        <w:t>1. Framing and Loss Aversion</w:t>
      </w:r>
    </w:p>
    <w:p w14:paraId="0B7102D0" w14:textId="77777777" w:rsidR="00FF5BBB" w:rsidRDefault="00FF5BBB" w:rsidP="00FF5BBB">
      <w:pPr>
        <w:pStyle w:val="NoSpacing"/>
      </w:pPr>
      <w:r>
        <w:t xml:space="preserve">Framing and loss aversion are central to Miller’s investment </w:t>
      </w:r>
      <w:proofErr w:type="spellStart"/>
      <w:r>
        <w:t>behavior</w:t>
      </w:r>
      <w:proofErr w:type="spellEnd"/>
      <w:r>
        <w:t xml:space="preserve">. According to </w:t>
      </w:r>
      <w:r>
        <w:rPr>
          <w:rStyle w:val="Emphasis"/>
        </w:rPr>
        <w:t>Kahneman and Tversky</w:t>
      </w:r>
      <w:r>
        <w:t xml:space="preserve">'s prospect theory, individuals tend to feel the pain of losses more acutely than they feel pleasure from equivalent gains. This bias is evident when Miller reacts to market downturns by focusing disproportionately on minimizing losses, often at the expense of missing out on potential </w:t>
      </w:r>
      <w:r>
        <w:lastRenderedPageBreak/>
        <w:t xml:space="preserve">gains. For instance, during periods of market volatility, Miller tends to sell off assets prematurely, driven by the fear of further losses, a </w:t>
      </w:r>
      <w:proofErr w:type="spellStart"/>
      <w:r>
        <w:t>behavior</w:t>
      </w:r>
      <w:proofErr w:type="spellEnd"/>
      <w:r>
        <w:t xml:space="preserve"> driven by loss aversion.</w:t>
      </w:r>
    </w:p>
    <w:p w14:paraId="09858ABB" w14:textId="77777777" w:rsidR="00FF5BBB" w:rsidRDefault="00FF5BBB" w:rsidP="00FF5BBB">
      <w:pPr>
        <w:pStyle w:val="NoSpacing"/>
        <w:rPr>
          <w:rStyle w:val="whitespace-normal"/>
        </w:rPr>
      </w:pPr>
      <w:r>
        <w:rPr>
          <w:rStyle w:val="Strong"/>
        </w:rPr>
        <w:t>Recommendation</w:t>
      </w:r>
      <w:r>
        <w:t xml:space="preserve">: To counteract loss aversion, it is crucial for Miller to adopt a long-term investment strategy grounded in market fundamentals. Research from the </w:t>
      </w:r>
      <w:r>
        <w:rPr>
          <w:rStyle w:val="Emphasis"/>
        </w:rPr>
        <w:t>Bank for International Settlements</w:t>
      </w:r>
      <w:r>
        <w:t xml:space="preserve"> (BIS) and the </w:t>
      </w:r>
      <w:r>
        <w:rPr>
          <w:rStyle w:val="Emphasis"/>
        </w:rPr>
        <w:t>Federal Reserve</w:t>
      </w:r>
      <w:r>
        <w:t xml:space="preserve"> underscores the importance of a disciplined approach that prioritizes regular portfolio rebalancing and strategic asset allocation over emotional responses to short-term market </w:t>
      </w:r>
      <w:proofErr w:type="gramStart"/>
      <w:r>
        <w:t>fluctuations​</w:t>
      </w:r>
      <w:r>
        <w:rPr>
          <w:rStyle w:val="whitespace-nowrap"/>
        </w:rPr>
        <w:t>(</w:t>
      </w:r>
      <w:proofErr w:type="gramEnd"/>
    </w:p>
    <w:p w14:paraId="6327DF01" w14:textId="77777777" w:rsidR="00FF5BBB" w:rsidRDefault="00FF5BBB" w:rsidP="00FF5BBB">
      <w:pPr>
        <w:pStyle w:val="NoSpacing"/>
      </w:pPr>
      <w:hyperlink r:id="rId4" w:tgtFrame="_blank" w:history="1">
        <w:r>
          <w:rPr>
            <w:rStyle w:val="truncate"/>
            <w:color w:val="0000FF"/>
            <w:u w:val="single"/>
          </w:rPr>
          <w:t>The Case Centre</w:t>
        </w:r>
      </w:hyperlink>
    </w:p>
    <w:p w14:paraId="0BA3169D" w14:textId="77777777" w:rsidR="00FF5BBB" w:rsidRDefault="00FF5BBB" w:rsidP="00FF5BBB">
      <w:pPr>
        <w:pStyle w:val="NoSpacing"/>
        <w:rPr>
          <w:rStyle w:val="whitespace-normal"/>
        </w:rPr>
      </w:pPr>
      <w:r>
        <w:rPr>
          <w:rStyle w:val="whitespace-nowrap"/>
        </w:rPr>
        <w:t>)</w:t>
      </w:r>
      <w:r>
        <w:t>​</w:t>
      </w:r>
      <w:r>
        <w:rPr>
          <w:rStyle w:val="whitespace-nowrap"/>
        </w:rPr>
        <w:t>(</w:t>
      </w:r>
    </w:p>
    <w:p w14:paraId="0AA73212" w14:textId="77777777" w:rsidR="00FF5BBB" w:rsidRDefault="00FF5BBB" w:rsidP="00FF5BBB">
      <w:pPr>
        <w:pStyle w:val="NoSpacing"/>
      </w:pPr>
      <w:hyperlink r:id="rId5" w:tgtFrame="_blank" w:history="1">
        <w:r>
          <w:rPr>
            <w:rStyle w:val="truncate"/>
            <w:color w:val="0000FF"/>
            <w:u w:val="single"/>
          </w:rPr>
          <w:t>The Case Solutions</w:t>
        </w:r>
      </w:hyperlink>
    </w:p>
    <w:p w14:paraId="4B389662" w14:textId="77777777" w:rsidR="00FF5BBB" w:rsidRDefault="00FF5BBB" w:rsidP="00FF5BBB">
      <w:pPr>
        <w:pStyle w:val="NoSpacing"/>
        <w:rPr>
          <w:rStyle w:val="whitespace-normal"/>
        </w:rPr>
      </w:pPr>
      <w:r>
        <w:rPr>
          <w:rStyle w:val="whitespace-nowrap"/>
        </w:rPr>
        <w:t>)</w:t>
      </w:r>
      <w:r>
        <w:t xml:space="preserve">. Portfolio insurance strategies and broad diversification, as recommended by </w:t>
      </w:r>
      <w:r>
        <w:rPr>
          <w:rStyle w:val="Emphasis"/>
        </w:rPr>
        <w:t>The Journal of Economic Perspectives</w:t>
      </w:r>
      <w:r>
        <w:t xml:space="preserve">, can also help Miller mitigate risk while focusing on sustainable long-term </w:t>
      </w:r>
      <w:proofErr w:type="gramStart"/>
      <w:r>
        <w:t>returns​</w:t>
      </w:r>
      <w:r>
        <w:rPr>
          <w:rStyle w:val="whitespace-nowrap"/>
        </w:rPr>
        <w:t>(</w:t>
      </w:r>
      <w:proofErr w:type="gramEnd"/>
    </w:p>
    <w:p w14:paraId="54EE1022" w14:textId="77777777" w:rsidR="00FF5BBB" w:rsidRDefault="00FF5BBB" w:rsidP="00FF5BBB">
      <w:pPr>
        <w:pStyle w:val="NoSpacing"/>
      </w:pPr>
      <w:hyperlink r:id="rId6" w:tgtFrame="_blank" w:history="1">
        <w:r>
          <w:rPr>
            <w:rStyle w:val="truncate"/>
            <w:color w:val="0000FF"/>
            <w:u w:val="single"/>
          </w:rPr>
          <w:t>The Case Solutions</w:t>
        </w:r>
      </w:hyperlink>
    </w:p>
    <w:p w14:paraId="4BEDBCB8" w14:textId="77777777" w:rsidR="00FF5BBB" w:rsidRDefault="00FF5BBB" w:rsidP="00FF5BBB">
      <w:pPr>
        <w:pStyle w:val="NoSpacing"/>
      </w:pPr>
      <w:r>
        <w:rPr>
          <w:rStyle w:val="whitespace-nowrap"/>
        </w:rPr>
        <w:t>)</w:t>
      </w:r>
      <w:r>
        <w:t>.</w:t>
      </w:r>
    </w:p>
    <w:p w14:paraId="7A6DCCE9" w14:textId="77777777" w:rsidR="00FF5BBB" w:rsidRDefault="00FF5BBB" w:rsidP="00FF5BBB">
      <w:pPr>
        <w:pStyle w:val="NoSpacing"/>
      </w:pPr>
      <w:r>
        <w:t>2. Overconfidence</w:t>
      </w:r>
    </w:p>
    <w:p w14:paraId="615B0054" w14:textId="77777777" w:rsidR="00FF5BBB" w:rsidRDefault="00FF5BBB" w:rsidP="00FF5BBB">
      <w:pPr>
        <w:pStyle w:val="NoSpacing"/>
      </w:pPr>
      <w:r>
        <w:t xml:space="preserve">Miller exhibits overconfidence when he overestimates his ability to predict market trends and relies on past successes without adjusting his strategy to align with evolving market conditions. Overconfidence bias, well-documented in </w:t>
      </w:r>
      <w:proofErr w:type="spellStart"/>
      <w:r>
        <w:t>behavioral</w:t>
      </w:r>
      <w:proofErr w:type="spellEnd"/>
      <w:r>
        <w:t xml:space="preserve"> finance, leads investors to take on excessive risks, assuming that their intuition or previous gains are a reliable predictor of future success. This is particularly evident in Miller’s reluctance to seek external advice or reassess his portfolio, leading to an unbalanced approach to risk and reward.</w:t>
      </w:r>
    </w:p>
    <w:p w14:paraId="7B286FC0" w14:textId="77777777" w:rsidR="00FF5BBB" w:rsidRDefault="00FF5BBB" w:rsidP="00FF5BBB">
      <w:pPr>
        <w:pStyle w:val="NoSpacing"/>
        <w:rPr>
          <w:rStyle w:val="whitespace-normal"/>
        </w:rPr>
      </w:pPr>
      <w:r>
        <w:rPr>
          <w:rStyle w:val="Strong"/>
        </w:rPr>
        <w:t>Recommendation</w:t>
      </w:r>
      <w:r>
        <w:t xml:space="preserve">: To mitigate the effects of overconfidence, Miller should implement a more objective, data-driven investment strategy. Research published by </w:t>
      </w:r>
      <w:r>
        <w:rPr>
          <w:rStyle w:val="Emphasis"/>
        </w:rPr>
        <w:t>Bloomberg</w:t>
      </w:r>
      <w:r>
        <w:t xml:space="preserve"> and </w:t>
      </w:r>
      <w:r>
        <w:rPr>
          <w:rStyle w:val="Emphasis"/>
        </w:rPr>
        <w:t>The Financial Times</w:t>
      </w:r>
      <w:r>
        <w:t xml:space="preserve"> suggests that overconfident investors benefit from regular consultations with financial advisors and objective performance </w:t>
      </w:r>
      <w:proofErr w:type="gramStart"/>
      <w:r>
        <w:t>benchmarking​</w:t>
      </w:r>
      <w:r>
        <w:rPr>
          <w:rStyle w:val="whitespace-nowrap"/>
        </w:rPr>
        <w:t>(</w:t>
      </w:r>
      <w:proofErr w:type="gramEnd"/>
    </w:p>
    <w:p w14:paraId="595425C4" w14:textId="77777777" w:rsidR="00FF5BBB" w:rsidRDefault="00FF5BBB" w:rsidP="00FF5BBB">
      <w:pPr>
        <w:pStyle w:val="NoSpacing"/>
      </w:pPr>
      <w:hyperlink r:id="rId7" w:tgtFrame="_blank" w:history="1">
        <w:r>
          <w:rPr>
            <w:rStyle w:val="truncate"/>
            <w:color w:val="0000FF"/>
            <w:u w:val="single"/>
          </w:rPr>
          <w:t>Chegg</w:t>
        </w:r>
      </w:hyperlink>
    </w:p>
    <w:p w14:paraId="0C39A45A" w14:textId="77777777" w:rsidR="00FF5BBB" w:rsidRDefault="00FF5BBB" w:rsidP="00FF5BBB">
      <w:pPr>
        <w:pStyle w:val="NoSpacing"/>
        <w:rPr>
          <w:rStyle w:val="whitespace-normal"/>
        </w:rPr>
      </w:pPr>
      <w:r>
        <w:rPr>
          <w:rStyle w:val="whitespace-nowrap"/>
        </w:rPr>
        <w:t>)</w:t>
      </w:r>
      <w:r>
        <w:t xml:space="preserve">. Diversification is also critical, as emphasized by reports from the </w:t>
      </w:r>
      <w:r>
        <w:rPr>
          <w:rStyle w:val="Emphasis"/>
        </w:rPr>
        <w:t>International Monetary Fund</w:t>
      </w:r>
      <w:r>
        <w:t xml:space="preserve"> (IMF), which recommend a balanced approach that adjusts portfolio allocations to mitigate excessive risk-taking </w:t>
      </w:r>
      <w:proofErr w:type="gramStart"/>
      <w:r>
        <w:t>tendencies​</w:t>
      </w:r>
      <w:r>
        <w:rPr>
          <w:rStyle w:val="whitespace-nowrap"/>
        </w:rPr>
        <w:t>(</w:t>
      </w:r>
      <w:proofErr w:type="gramEnd"/>
    </w:p>
    <w:p w14:paraId="1A62C380" w14:textId="77777777" w:rsidR="00FF5BBB" w:rsidRDefault="00FF5BBB" w:rsidP="00FF5BBB">
      <w:pPr>
        <w:pStyle w:val="NoSpacing"/>
      </w:pPr>
      <w:hyperlink r:id="rId8" w:tgtFrame="_blank" w:history="1">
        <w:r>
          <w:rPr>
            <w:rStyle w:val="truncate"/>
            <w:color w:val="0000FF"/>
            <w:u w:val="single"/>
          </w:rPr>
          <w:t>Chegg</w:t>
        </w:r>
      </w:hyperlink>
    </w:p>
    <w:p w14:paraId="59F2BED2" w14:textId="77777777" w:rsidR="00FF5BBB" w:rsidRDefault="00FF5BBB" w:rsidP="00FF5BBB">
      <w:pPr>
        <w:pStyle w:val="NoSpacing"/>
      </w:pPr>
      <w:r>
        <w:rPr>
          <w:rStyle w:val="whitespace-nowrap"/>
        </w:rPr>
        <w:t>)</w:t>
      </w:r>
      <w:r>
        <w:t>. Using a disciplined investment approach based on quantitative metrics can help Miller prevent emotional decision-making and overconfidence from undermining his portfolio.</w:t>
      </w:r>
    </w:p>
    <w:p w14:paraId="5345CA1D" w14:textId="77777777" w:rsidR="00985B8D" w:rsidRDefault="00985B8D" w:rsidP="00FF5BBB">
      <w:pPr>
        <w:pStyle w:val="NoSpacing"/>
      </w:pPr>
    </w:p>
    <w:p w14:paraId="508F5667" w14:textId="04E4A976" w:rsidR="00FF5BBB" w:rsidRDefault="00FF5BBB" w:rsidP="00FF5BBB">
      <w:pPr>
        <w:pStyle w:val="NoSpacing"/>
      </w:pPr>
      <w:r>
        <w:t>3. Anchoring and Representativeness</w:t>
      </w:r>
    </w:p>
    <w:p w14:paraId="25F29EA3" w14:textId="77777777" w:rsidR="00FF5BBB" w:rsidRDefault="00FF5BBB" w:rsidP="00FF5BBB">
      <w:pPr>
        <w:pStyle w:val="NoSpacing"/>
      </w:pPr>
      <w:r>
        <w:t xml:space="preserve">Miller also demonstrates a combination of anchoring and representativeness biases. Anchoring occurs when individuals fixate on an initial reference point, such as a market high or low, and make decisions based on that point regardless of new data. Representativeness refers to the tendency to make judgments based on past patterns or stereotypes, leading investors to believe that current trends will continue indefinitely. Miller is prone to anchoring his expectations on either extreme </w:t>
      </w:r>
      <w:proofErr w:type="gramStart"/>
      <w:r>
        <w:t>ends</w:t>
      </w:r>
      <w:proofErr w:type="gramEnd"/>
      <w:r>
        <w:t xml:space="preserve"> of the market cycle, shifting his viewpoint only when overwhelming evidence contradicts his initial assumptions. For instance, during market downturns, Miller is inclined to interpret the situation as a “financial Armageddon,” without considering historical market recoveries.</w:t>
      </w:r>
    </w:p>
    <w:p w14:paraId="67BC984C" w14:textId="77777777" w:rsidR="00FF5BBB" w:rsidRDefault="00FF5BBB" w:rsidP="00FF5BBB">
      <w:pPr>
        <w:pStyle w:val="NoSpacing"/>
      </w:pPr>
      <w:r>
        <w:rPr>
          <w:rStyle w:val="Strong"/>
        </w:rPr>
        <w:t>Recommendation</w:t>
      </w:r>
      <w:r>
        <w:t xml:space="preserve">: To address these biases, Miller should adopt systematic investment strategies that are insulated from emotional decision-making. The </w:t>
      </w:r>
      <w:r>
        <w:rPr>
          <w:rStyle w:val="Emphasis"/>
        </w:rPr>
        <w:t>European Central Bank</w:t>
      </w:r>
      <w:r>
        <w:t xml:space="preserve"> and the </w:t>
      </w:r>
      <w:r>
        <w:rPr>
          <w:rStyle w:val="Emphasis"/>
        </w:rPr>
        <w:t>World Bank</w:t>
      </w:r>
      <w:r>
        <w:t xml:space="preserve"> suggest the use of rules-based approaches, which allow investors to base decisions on objective market data rather than sentiments anchored in past </w:t>
      </w:r>
      <w:proofErr w:type="gramStart"/>
      <w:r>
        <w:t>events .</w:t>
      </w:r>
      <w:proofErr w:type="gramEnd"/>
      <w:r>
        <w:t xml:space="preserve"> Periodic portfolio reviews and data-driven decision-making can help Miller shift away from reliance on emotional triggers or representativeness. Research from the </w:t>
      </w:r>
      <w:r>
        <w:rPr>
          <w:rStyle w:val="Emphasis"/>
        </w:rPr>
        <w:t>Wall Street Journal</w:t>
      </w:r>
      <w:r>
        <w:t xml:space="preserve"> further emphasizes the importance of implementing disciplined entry and exit points, helping investors like Miller avoid the cognitive pitfalls of anchoring and representativeness during extreme market </w:t>
      </w:r>
      <w:proofErr w:type="gramStart"/>
      <w:r>
        <w:t>cycles .</w:t>
      </w:r>
      <w:proofErr w:type="gramEnd"/>
    </w:p>
    <w:p w14:paraId="492B8795" w14:textId="77777777" w:rsidR="00FF5BBB" w:rsidRDefault="00FF5BBB" w:rsidP="00FF5BBB">
      <w:pPr>
        <w:pStyle w:val="NoSpacing"/>
      </w:pPr>
      <w:r>
        <w:lastRenderedPageBreak/>
        <w:t xml:space="preserve">By addressing these </w:t>
      </w:r>
      <w:proofErr w:type="spellStart"/>
      <w:r>
        <w:t>behavioral</w:t>
      </w:r>
      <w:proofErr w:type="spellEnd"/>
      <w:r>
        <w:t xml:space="preserve"> biases with recommendations grounded in academic and institutional research, Bob Miller can make more informed and rational investment decisions that align with long-term goals rather than short-term market fluctuations.</w:t>
      </w:r>
    </w:p>
    <w:p w14:paraId="7EE7E2B2" w14:textId="77777777" w:rsidR="004F02C2" w:rsidRDefault="004F02C2" w:rsidP="004F02C2"/>
    <w:p w14:paraId="7F6869A2" w14:textId="77777777" w:rsidR="00FF5BBB" w:rsidRDefault="00FF5BBB" w:rsidP="004F02C2"/>
    <w:p w14:paraId="74897381" w14:textId="77777777" w:rsidR="00FF5BBB" w:rsidRDefault="00FF5BBB" w:rsidP="004F02C2"/>
    <w:p w14:paraId="50604084" w14:textId="14DA6670" w:rsidR="004F02C2" w:rsidRDefault="004F02C2" w:rsidP="004F02C2">
      <w:pPr>
        <w:pStyle w:val="Heading2"/>
      </w:pPr>
      <w:r>
        <w:t>Conclusion</w:t>
      </w:r>
    </w:p>
    <w:p w14:paraId="68616D7F" w14:textId="77777777" w:rsidR="00285C06" w:rsidRDefault="00285C06" w:rsidP="00285C06"/>
    <w:p w14:paraId="6B829CAC" w14:textId="77777777" w:rsidR="00285C06" w:rsidRDefault="00285C06" w:rsidP="00285C06"/>
    <w:p w14:paraId="7248B37A" w14:textId="77777777" w:rsidR="00285C06" w:rsidRDefault="00285C06" w:rsidP="00285C06"/>
    <w:p w14:paraId="34BF6D0C" w14:textId="77777777" w:rsidR="00285C06" w:rsidRDefault="00285C06" w:rsidP="00285C06">
      <w:r>
        <w:t xml:space="preserve">2.  How confident should Rudy Wong be as to the advice he provides to clients? Given </w:t>
      </w:r>
    </w:p>
    <w:p w14:paraId="2EC7433F" w14:textId="77777777" w:rsidR="00285C06" w:rsidRDefault="00285C06" w:rsidP="00285C06">
      <w:r>
        <w:t xml:space="preserve">the poor performance in the previous year (as of the time of the case), how do </w:t>
      </w:r>
      <w:proofErr w:type="gramStart"/>
      <w:r>
        <w:t>you</w:t>
      </w:r>
      <w:proofErr w:type="gramEnd"/>
      <w:r>
        <w:t xml:space="preserve"> </w:t>
      </w:r>
    </w:p>
    <w:p w14:paraId="0E0ABDC6" w14:textId="2D6B9238" w:rsidR="00285C06" w:rsidRPr="00285C06" w:rsidRDefault="00285C06" w:rsidP="00285C06">
      <w:r>
        <w:t>think Wong should best approach such situations?   [50 marks]</w:t>
      </w:r>
    </w:p>
    <w:sectPr w:rsidR="00285C06" w:rsidRPr="00285C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2C2"/>
    <w:rsid w:val="00285C06"/>
    <w:rsid w:val="003411E0"/>
    <w:rsid w:val="00392B76"/>
    <w:rsid w:val="003B04A3"/>
    <w:rsid w:val="004F02C2"/>
    <w:rsid w:val="006631A3"/>
    <w:rsid w:val="00985B8D"/>
    <w:rsid w:val="009B6526"/>
    <w:rsid w:val="00C31DA5"/>
    <w:rsid w:val="00D57BBE"/>
    <w:rsid w:val="00E361C9"/>
    <w:rsid w:val="00F24D28"/>
    <w:rsid w:val="00FF5B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C03E4"/>
  <w15:chartTrackingRefBased/>
  <w15:docId w15:val="{7B043760-E866-42D3-95A2-69CA5EA0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2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02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F5B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2C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F02C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4F02C2"/>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4F02C2"/>
    <w:rPr>
      <w:b/>
      <w:bCs/>
    </w:rPr>
  </w:style>
  <w:style w:type="character" w:customStyle="1" w:styleId="Heading3Char">
    <w:name w:val="Heading 3 Char"/>
    <w:basedOn w:val="DefaultParagraphFont"/>
    <w:link w:val="Heading3"/>
    <w:uiPriority w:val="9"/>
    <w:semiHidden/>
    <w:rsid w:val="00FF5BBB"/>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FF5BBB"/>
    <w:rPr>
      <w:i/>
      <w:iCs/>
    </w:rPr>
  </w:style>
  <w:style w:type="character" w:customStyle="1" w:styleId="whitespace-nowrap">
    <w:name w:val="whitespace-nowrap"/>
    <w:basedOn w:val="DefaultParagraphFont"/>
    <w:rsid w:val="00FF5BBB"/>
  </w:style>
  <w:style w:type="character" w:customStyle="1" w:styleId="whitespace-normal">
    <w:name w:val="whitespace-normal"/>
    <w:basedOn w:val="DefaultParagraphFont"/>
    <w:rsid w:val="00FF5BBB"/>
  </w:style>
  <w:style w:type="character" w:customStyle="1" w:styleId="truncate">
    <w:name w:val="truncate"/>
    <w:basedOn w:val="DefaultParagraphFont"/>
    <w:rsid w:val="00FF5BBB"/>
  </w:style>
  <w:style w:type="paragraph" w:styleId="NoSpacing">
    <w:name w:val="No Spacing"/>
    <w:uiPriority w:val="1"/>
    <w:qFormat/>
    <w:rsid w:val="00FF5B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547558">
      <w:bodyDiv w:val="1"/>
      <w:marLeft w:val="0"/>
      <w:marRight w:val="0"/>
      <w:marTop w:val="0"/>
      <w:marBottom w:val="0"/>
      <w:divBdr>
        <w:top w:val="none" w:sz="0" w:space="0" w:color="auto"/>
        <w:left w:val="none" w:sz="0" w:space="0" w:color="auto"/>
        <w:bottom w:val="none" w:sz="0" w:space="0" w:color="auto"/>
        <w:right w:val="none" w:sz="0" w:space="0" w:color="auto"/>
      </w:divBdr>
      <w:divsChild>
        <w:div w:id="1810895620">
          <w:marLeft w:val="0"/>
          <w:marRight w:val="0"/>
          <w:marTop w:val="0"/>
          <w:marBottom w:val="0"/>
          <w:divBdr>
            <w:top w:val="none" w:sz="0" w:space="0" w:color="auto"/>
            <w:left w:val="none" w:sz="0" w:space="0" w:color="auto"/>
            <w:bottom w:val="none" w:sz="0" w:space="0" w:color="auto"/>
            <w:right w:val="none" w:sz="0" w:space="0" w:color="auto"/>
          </w:divBdr>
          <w:divsChild>
            <w:div w:id="2026856848">
              <w:marLeft w:val="0"/>
              <w:marRight w:val="0"/>
              <w:marTop w:val="0"/>
              <w:marBottom w:val="0"/>
              <w:divBdr>
                <w:top w:val="none" w:sz="0" w:space="0" w:color="auto"/>
                <w:left w:val="none" w:sz="0" w:space="0" w:color="auto"/>
                <w:bottom w:val="none" w:sz="0" w:space="0" w:color="auto"/>
                <w:right w:val="none" w:sz="0" w:space="0" w:color="auto"/>
              </w:divBdr>
              <w:divsChild>
                <w:div w:id="1937322377">
                  <w:marLeft w:val="0"/>
                  <w:marRight w:val="0"/>
                  <w:marTop w:val="0"/>
                  <w:marBottom w:val="0"/>
                  <w:divBdr>
                    <w:top w:val="none" w:sz="0" w:space="0" w:color="auto"/>
                    <w:left w:val="none" w:sz="0" w:space="0" w:color="auto"/>
                    <w:bottom w:val="none" w:sz="0" w:space="0" w:color="auto"/>
                    <w:right w:val="none" w:sz="0" w:space="0" w:color="auto"/>
                  </w:divBdr>
                  <w:divsChild>
                    <w:div w:id="1443473">
                      <w:marLeft w:val="0"/>
                      <w:marRight w:val="0"/>
                      <w:marTop w:val="0"/>
                      <w:marBottom w:val="0"/>
                      <w:divBdr>
                        <w:top w:val="none" w:sz="0" w:space="0" w:color="auto"/>
                        <w:left w:val="none" w:sz="0" w:space="0" w:color="auto"/>
                        <w:bottom w:val="none" w:sz="0" w:space="0" w:color="auto"/>
                        <w:right w:val="none" w:sz="0" w:space="0" w:color="auto"/>
                      </w:divBdr>
                      <w:divsChild>
                        <w:div w:id="2020501434">
                          <w:marLeft w:val="0"/>
                          <w:marRight w:val="0"/>
                          <w:marTop w:val="0"/>
                          <w:marBottom w:val="0"/>
                          <w:divBdr>
                            <w:top w:val="none" w:sz="0" w:space="0" w:color="auto"/>
                            <w:left w:val="none" w:sz="0" w:space="0" w:color="auto"/>
                            <w:bottom w:val="none" w:sz="0" w:space="0" w:color="auto"/>
                            <w:right w:val="none" w:sz="0" w:space="0" w:color="auto"/>
                          </w:divBdr>
                          <w:divsChild>
                            <w:div w:id="73828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595083">
      <w:bodyDiv w:val="1"/>
      <w:marLeft w:val="0"/>
      <w:marRight w:val="0"/>
      <w:marTop w:val="0"/>
      <w:marBottom w:val="0"/>
      <w:divBdr>
        <w:top w:val="none" w:sz="0" w:space="0" w:color="auto"/>
        <w:left w:val="none" w:sz="0" w:space="0" w:color="auto"/>
        <w:bottom w:val="none" w:sz="0" w:space="0" w:color="auto"/>
        <w:right w:val="none" w:sz="0" w:space="0" w:color="auto"/>
      </w:divBdr>
    </w:div>
    <w:div w:id="990985830">
      <w:bodyDiv w:val="1"/>
      <w:marLeft w:val="0"/>
      <w:marRight w:val="0"/>
      <w:marTop w:val="0"/>
      <w:marBottom w:val="0"/>
      <w:divBdr>
        <w:top w:val="none" w:sz="0" w:space="0" w:color="auto"/>
        <w:left w:val="none" w:sz="0" w:space="0" w:color="auto"/>
        <w:bottom w:val="none" w:sz="0" w:space="0" w:color="auto"/>
        <w:right w:val="none" w:sz="0" w:space="0" w:color="auto"/>
      </w:divBdr>
      <w:divsChild>
        <w:div w:id="1259944654">
          <w:marLeft w:val="0"/>
          <w:marRight w:val="0"/>
          <w:marTop w:val="0"/>
          <w:marBottom w:val="0"/>
          <w:divBdr>
            <w:top w:val="none" w:sz="0" w:space="0" w:color="auto"/>
            <w:left w:val="none" w:sz="0" w:space="0" w:color="auto"/>
            <w:bottom w:val="none" w:sz="0" w:space="0" w:color="auto"/>
            <w:right w:val="none" w:sz="0" w:space="0" w:color="auto"/>
          </w:divBdr>
        </w:div>
        <w:div w:id="468326966">
          <w:marLeft w:val="0"/>
          <w:marRight w:val="0"/>
          <w:marTop w:val="0"/>
          <w:marBottom w:val="0"/>
          <w:divBdr>
            <w:top w:val="none" w:sz="0" w:space="0" w:color="auto"/>
            <w:left w:val="none" w:sz="0" w:space="0" w:color="auto"/>
            <w:bottom w:val="none" w:sz="0" w:space="0" w:color="auto"/>
            <w:right w:val="none" w:sz="0" w:space="0" w:color="auto"/>
          </w:divBdr>
        </w:div>
        <w:div w:id="665086362">
          <w:marLeft w:val="0"/>
          <w:marRight w:val="0"/>
          <w:marTop w:val="0"/>
          <w:marBottom w:val="0"/>
          <w:divBdr>
            <w:top w:val="none" w:sz="0" w:space="0" w:color="auto"/>
            <w:left w:val="none" w:sz="0" w:space="0" w:color="auto"/>
            <w:bottom w:val="none" w:sz="0" w:space="0" w:color="auto"/>
            <w:right w:val="none" w:sz="0" w:space="0" w:color="auto"/>
          </w:divBdr>
        </w:div>
        <w:div w:id="1915505035">
          <w:marLeft w:val="0"/>
          <w:marRight w:val="0"/>
          <w:marTop w:val="0"/>
          <w:marBottom w:val="0"/>
          <w:divBdr>
            <w:top w:val="none" w:sz="0" w:space="0" w:color="auto"/>
            <w:left w:val="none" w:sz="0" w:space="0" w:color="auto"/>
            <w:bottom w:val="none" w:sz="0" w:space="0" w:color="auto"/>
            <w:right w:val="none" w:sz="0" w:space="0" w:color="auto"/>
          </w:divBdr>
        </w:div>
        <w:div w:id="79177589">
          <w:marLeft w:val="0"/>
          <w:marRight w:val="0"/>
          <w:marTop w:val="0"/>
          <w:marBottom w:val="0"/>
          <w:divBdr>
            <w:top w:val="none" w:sz="0" w:space="0" w:color="auto"/>
            <w:left w:val="none" w:sz="0" w:space="0" w:color="auto"/>
            <w:bottom w:val="none" w:sz="0" w:space="0" w:color="auto"/>
            <w:right w:val="none" w:sz="0" w:space="0" w:color="auto"/>
          </w:divBdr>
        </w:div>
      </w:divsChild>
    </w:div>
    <w:div w:id="1068963696">
      <w:bodyDiv w:val="1"/>
      <w:marLeft w:val="0"/>
      <w:marRight w:val="0"/>
      <w:marTop w:val="0"/>
      <w:marBottom w:val="0"/>
      <w:divBdr>
        <w:top w:val="none" w:sz="0" w:space="0" w:color="auto"/>
        <w:left w:val="none" w:sz="0" w:space="0" w:color="auto"/>
        <w:bottom w:val="none" w:sz="0" w:space="0" w:color="auto"/>
        <w:right w:val="none" w:sz="0" w:space="0" w:color="auto"/>
      </w:divBdr>
      <w:divsChild>
        <w:div w:id="49154050">
          <w:marLeft w:val="0"/>
          <w:marRight w:val="0"/>
          <w:marTop w:val="0"/>
          <w:marBottom w:val="0"/>
          <w:divBdr>
            <w:top w:val="none" w:sz="0" w:space="0" w:color="auto"/>
            <w:left w:val="none" w:sz="0" w:space="0" w:color="auto"/>
            <w:bottom w:val="none" w:sz="0" w:space="0" w:color="auto"/>
            <w:right w:val="none" w:sz="0" w:space="0" w:color="auto"/>
          </w:divBdr>
          <w:divsChild>
            <w:div w:id="1256016861">
              <w:marLeft w:val="0"/>
              <w:marRight w:val="0"/>
              <w:marTop w:val="0"/>
              <w:marBottom w:val="0"/>
              <w:divBdr>
                <w:top w:val="none" w:sz="0" w:space="0" w:color="auto"/>
                <w:left w:val="none" w:sz="0" w:space="0" w:color="auto"/>
                <w:bottom w:val="none" w:sz="0" w:space="0" w:color="auto"/>
                <w:right w:val="none" w:sz="0" w:space="0" w:color="auto"/>
              </w:divBdr>
              <w:divsChild>
                <w:div w:id="384329961">
                  <w:marLeft w:val="0"/>
                  <w:marRight w:val="0"/>
                  <w:marTop w:val="0"/>
                  <w:marBottom w:val="0"/>
                  <w:divBdr>
                    <w:top w:val="none" w:sz="0" w:space="0" w:color="auto"/>
                    <w:left w:val="none" w:sz="0" w:space="0" w:color="auto"/>
                    <w:bottom w:val="none" w:sz="0" w:space="0" w:color="auto"/>
                    <w:right w:val="none" w:sz="0" w:space="0" w:color="auto"/>
                  </w:divBdr>
                  <w:divsChild>
                    <w:div w:id="98184279">
                      <w:marLeft w:val="0"/>
                      <w:marRight w:val="0"/>
                      <w:marTop w:val="0"/>
                      <w:marBottom w:val="0"/>
                      <w:divBdr>
                        <w:top w:val="none" w:sz="0" w:space="0" w:color="auto"/>
                        <w:left w:val="none" w:sz="0" w:space="0" w:color="auto"/>
                        <w:bottom w:val="none" w:sz="0" w:space="0" w:color="auto"/>
                        <w:right w:val="none" w:sz="0" w:space="0" w:color="auto"/>
                      </w:divBdr>
                      <w:divsChild>
                        <w:div w:id="1096288573">
                          <w:marLeft w:val="0"/>
                          <w:marRight w:val="0"/>
                          <w:marTop w:val="0"/>
                          <w:marBottom w:val="0"/>
                          <w:divBdr>
                            <w:top w:val="none" w:sz="0" w:space="0" w:color="auto"/>
                            <w:left w:val="none" w:sz="0" w:space="0" w:color="auto"/>
                            <w:bottom w:val="none" w:sz="0" w:space="0" w:color="auto"/>
                            <w:right w:val="none" w:sz="0" w:space="0" w:color="auto"/>
                          </w:divBdr>
                          <w:divsChild>
                            <w:div w:id="53053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egg.com/homework-help/questions-and-answers/read-case-study-rudy-wong-investment-advisor-respond-questions-1-critical-emotion-related--q116769068" TargetMode="External"/><Relationship Id="rId3" Type="http://schemas.openxmlformats.org/officeDocument/2006/relationships/webSettings" Target="webSettings.xml"/><Relationship Id="rId7" Type="http://schemas.openxmlformats.org/officeDocument/2006/relationships/hyperlink" Target="https://www.chegg.com/homework-help/questions-and-answers/read-case-study-rudy-wong-investment-advisor-respond-questions-1-critical-emotion-related--q11676906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casesolutions.com/rudy-wong-investment-advisor-4283" TargetMode="External"/><Relationship Id="rId5" Type="http://schemas.openxmlformats.org/officeDocument/2006/relationships/hyperlink" Target="https://www.thecasesolutions.com/rudy-wong-investment-advisor-4283" TargetMode="External"/><Relationship Id="rId10" Type="http://schemas.openxmlformats.org/officeDocument/2006/relationships/theme" Target="theme/theme1.xml"/><Relationship Id="rId4" Type="http://schemas.openxmlformats.org/officeDocument/2006/relationships/hyperlink" Target="https://www.thecasecentre.org/educators/products/view?id=93009"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1452</TotalTime>
  <Pages>1</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NTI Limited</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Ciccotosto-Camp</dc:creator>
  <cp:keywords/>
  <dc:description/>
  <cp:lastModifiedBy>Daniel Ciccotosto-Camp</cp:lastModifiedBy>
  <cp:revision>3</cp:revision>
  <dcterms:created xsi:type="dcterms:W3CDTF">2024-09-29T12:19:00Z</dcterms:created>
  <dcterms:modified xsi:type="dcterms:W3CDTF">2024-10-03T00:46:00Z</dcterms:modified>
</cp:coreProperties>
</file>