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6C1EF" w14:textId="250761F2" w:rsidR="00A870DE" w:rsidRPr="003C2A97" w:rsidRDefault="00A870DE" w:rsidP="00A870DE">
      <w:pPr>
        <w:pStyle w:val="Heading2"/>
        <w:spacing w:line="360" w:lineRule="auto"/>
        <w:jc w:val="center"/>
        <w:rPr>
          <w:rFonts w:ascii="Times New Roman" w:hAnsi="Times New Roman" w:cs="Times New Roman"/>
          <w:b/>
          <w:bCs/>
          <w:color w:val="auto"/>
          <w:sz w:val="28"/>
          <w:szCs w:val="28"/>
        </w:rPr>
      </w:pPr>
      <w:r w:rsidRPr="003C2A97">
        <w:rPr>
          <w:rFonts w:ascii="Times New Roman" w:hAnsi="Times New Roman" w:cs="Times New Roman"/>
          <w:b/>
          <w:bCs/>
          <w:color w:val="auto"/>
          <w:sz w:val="28"/>
          <w:szCs w:val="28"/>
        </w:rPr>
        <w:t xml:space="preserve">FINM3407 Case Study – Daniel Ciccotosto-Camp </w:t>
      </w:r>
      <w:r w:rsidR="000704A7">
        <w:rPr>
          <w:rFonts w:ascii="Times New Roman" w:hAnsi="Times New Roman" w:cs="Times New Roman"/>
          <w:b/>
          <w:bCs/>
          <w:color w:val="auto"/>
          <w:sz w:val="28"/>
          <w:szCs w:val="28"/>
        </w:rPr>
        <w:t>S</w:t>
      </w:r>
      <w:r w:rsidRPr="003C2A97">
        <w:rPr>
          <w:rFonts w:ascii="Times New Roman" w:hAnsi="Times New Roman" w:cs="Times New Roman"/>
          <w:b/>
          <w:bCs/>
          <w:color w:val="auto"/>
          <w:sz w:val="28"/>
          <w:szCs w:val="28"/>
        </w:rPr>
        <w:t>45857278</w:t>
      </w:r>
    </w:p>
    <w:p w14:paraId="4A96D0C0" w14:textId="48E167D9" w:rsidR="004F02C2" w:rsidRPr="003C2A97" w:rsidRDefault="00F15113" w:rsidP="00F15113">
      <w:pPr>
        <w:pStyle w:val="Heading2"/>
        <w:rPr>
          <w:rFonts w:ascii="Times New Roman" w:hAnsi="Times New Roman" w:cs="Times New Roman"/>
          <w:b/>
          <w:bCs/>
          <w:color w:val="auto"/>
        </w:rPr>
      </w:pPr>
      <w:r w:rsidRPr="003C2A97">
        <w:rPr>
          <w:rFonts w:ascii="Times New Roman" w:hAnsi="Times New Roman" w:cs="Times New Roman"/>
          <w:b/>
          <w:bCs/>
          <w:color w:val="auto"/>
        </w:rPr>
        <w:t>Q1 [</w:t>
      </w:r>
      <w:r w:rsidR="004F02C2" w:rsidRPr="003C2A97">
        <w:rPr>
          <w:rFonts w:ascii="Times New Roman" w:hAnsi="Times New Roman" w:cs="Times New Roman"/>
          <w:b/>
          <w:bCs/>
          <w:color w:val="auto"/>
        </w:rPr>
        <w:t>Introduction</w:t>
      </w:r>
      <w:r w:rsidRPr="003C2A97">
        <w:rPr>
          <w:rFonts w:ascii="Times New Roman" w:hAnsi="Times New Roman" w:cs="Times New Roman"/>
          <w:b/>
          <w:bCs/>
          <w:color w:val="auto"/>
        </w:rPr>
        <w:t>]</w:t>
      </w:r>
    </w:p>
    <w:p w14:paraId="776558F9" w14:textId="540C5202" w:rsidR="004F02C2" w:rsidRPr="003C2A97" w:rsidRDefault="00955548" w:rsidP="00955548">
      <w:pPr>
        <w:pStyle w:val="NormalWeb"/>
        <w:spacing w:line="360" w:lineRule="auto"/>
        <w:jc w:val="both"/>
      </w:pPr>
      <w:r w:rsidRPr="003C2A97">
        <w:t xml:space="preserve">As Rudy Wong, a financial advisor at O’Hagan Securities, navigates the turbulent period leading up to the </w:t>
      </w:r>
      <w:r w:rsidR="00F15113" w:rsidRPr="003C2A97">
        <w:t>G</w:t>
      </w:r>
      <w:r w:rsidRPr="003C2A97">
        <w:t xml:space="preserve">lobal </w:t>
      </w:r>
      <w:r w:rsidR="00F15113" w:rsidRPr="003C2A97">
        <w:t>F</w:t>
      </w:r>
      <w:r w:rsidRPr="003C2A97">
        <w:t xml:space="preserve">inancial </w:t>
      </w:r>
      <w:r w:rsidR="00F15113" w:rsidRPr="003C2A97">
        <w:t>C</w:t>
      </w:r>
      <w:r w:rsidRPr="003C2A97">
        <w:t>risis</w:t>
      </w:r>
      <w:r w:rsidR="00F15113" w:rsidRPr="003C2A97">
        <w:t xml:space="preserve"> (GFC)</w:t>
      </w:r>
      <w:r w:rsidRPr="003C2A97">
        <w:t xml:space="preserve">, his role becomes crucial in helping clients like Bob Miller and the Kleins manage their investment portfolios. Each client displays unique </w:t>
      </w:r>
      <w:r w:rsidR="00F15113" w:rsidRPr="003C2A97">
        <w:t>behavioural</w:t>
      </w:r>
      <w:r w:rsidRPr="003C2A97">
        <w:t xml:space="preserve"> biases that can influence their financial decisions</w:t>
      </w:r>
      <w:r w:rsidR="00F15113" w:rsidRPr="003C2A97">
        <w:t xml:space="preserve"> - </w:t>
      </w:r>
      <w:r w:rsidRPr="003C2A97">
        <w:t>such as loss aversion, overconfidence, and anchoring</w:t>
      </w:r>
      <w:r w:rsidR="00F15113" w:rsidRPr="003C2A97">
        <w:t xml:space="preserve"> - </w:t>
      </w:r>
      <w:r w:rsidRPr="003C2A97">
        <w:t xml:space="preserve">leading to emotional, </w:t>
      </w:r>
      <w:r w:rsidR="00896394" w:rsidRPr="003C2A97">
        <w:t>and sometimes</w:t>
      </w:r>
      <w:r w:rsidRPr="003C2A97">
        <w:t xml:space="preserve"> irrational, reactions to market volatility. </w:t>
      </w:r>
      <w:r w:rsidR="00F15113" w:rsidRPr="003C2A97">
        <w:t>Behavioural</w:t>
      </w:r>
      <w:r w:rsidRPr="003C2A97">
        <w:t xml:space="preserve"> finance, which examines how psychological factors affect market </w:t>
      </w:r>
      <w:r w:rsidR="00F15113" w:rsidRPr="003C2A97">
        <w:t>behaviour</w:t>
      </w:r>
      <w:r w:rsidRPr="003C2A97">
        <w:t xml:space="preserve">, </w:t>
      </w:r>
      <w:r w:rsidR="00896394" w:rsidRPr="003C2A97">
        <w:t xml:space="preserve">is a valuable instrument in the financial advisor’s </w:t>
      </w:r>
      <w:r w:rsidR="002C1FA5" w:rsidRPr="003C2A97">
        <w:t>toolbox</w:t>
      </w:r>
      <w:r w:rsidRPr="003C2A97">
        <w:t xml:space="preserve"> </w:t>
      </w:r>
      <w:r w:rsidR="00896394" w:rsidRPr="003C2A97">
        <w:t>that</w:t>
      </w:r>
      <w:r w:rsidRPr="003C2A97">
        <w:t xml:space="preserve"> Wong </w:t>
      </w:r>
      <w:r w:rsidR="00896394" w:rsidRPr="003C2A97">
        <w:t>can use to</w:t>
      </w:r>
      <w:r w:rsidRPr="003C2A97">
        <w:t xml:space="preserve"> advise his clients. By recogni</w:t>
      </w:r>
      <w:r w:rsidR="00F15113" w:rsidRPr="003C2A97">
        <w:t>s</w:t>
      </w:r>
      <w:r w:rsidRPr="003C2A97">
        <w:t>ing and addressing these biases, Wong can offer personali</w:t>
      </w:r>
      <w:r w:rsidR="00F15113" w:rsidRPr="003C2A97">
        <w:t>s</w:t>
      </w:r>
      <w:r w:rsidRPr="003C2A97">
        <w:t>ed strategies that not only stabili</w:t>
      </w:r>
      <w:r w:rsidR="00F15113" w:rsidRPr="003C2A97">
        <w:t>s</w:t>
      </w:r>
      <w:r w:rsidRPr="003C2A97">
        <w:t xml:space="preserve">e portfolios during uncertain times but also guide his clients toward achieving their long-term financial goals. </w:t>
      </w:r>
    </w:p>
    <w:p w14:paraId="28E09ADF" w14:textId="4F9E2876" w:rsidR="004F02C2" w:rsidRPr="003C2A97" w:rsidRDefault="00F15113" w:rsidP="004F02C2">
      <w:pPr>
        <w:pStyle w:val="Heading2"/>
        <w:rPr>
          <w:rFonts w:ascii="Times New Roman" w:hAnsi="Times New Roman" w:cs="Times New Roman"/>
          <w:b/>
          <w:bCs/>
          <w:color w:val="auto"/>
        </w:rPr>
      </w:pPr>
      <w:r w:rsidRPr="003C2A97">
        <w:rPr>
          <w:rFonts w:ascii="Times New Roman" w:hAnsi="Times New Roman" w:cs="Times New Roman"/>
          <w:b/>
          <w:bCs/>
          <w:color w:val="auto"/>
        </w:rPr>
        <w:t>Q1 [</w:t>
      </w:r>
      <w:r w:rsidR="004F02C2" w:rsidRPr="003C2A97">
        <w:rPr>
          <w:rFonts w:ascii="Times New Roman" w:hAnsi="Times New Roman" w:cs="Times New Roman"/>
          <w:b/>
          <w:bCs/>
          <w:color w:val="auto"/>
        </w:rPr>
        <w:t>Body</w:t>
      </w:r>
      <w:r w:rsidRPr="003C2A97">
        <w:rPr>
          <w:rFonts w:ascii="Times New Roman" w:hAnsi="Times New Roman" w:cs="Times New Roman"/>
          <w:b/>
          <w:bCs/>
          <w:color w:val="auto"/>
        </w:rPr>
        <w:t>]</w:t>
      </w:r>
    </w:p>
    <w:p w14:paraId="241612FC" w14:textId="18485604" w:rsidR="00F24D28" w:rsidRPr="003C2A97" w:rsidRDefault="00F24D28" w:rsidP="006A4871">
      <w:pPr>
        <w:pStyle w:val="NormalWeb"/>
        <w:spacing w:line="360" w:lineRule="auto"/>
        <w:jc w:val="both"/>
      </w:pPr>
      <w:r w:rsidRPr="003C2A97">
        <w:t>Financial advisors contribute significant value to their clients’ portfolios through a range of expert strategies, tailored advice, and psychological insights. One of the primary ways in which advisors add value is by offering personali</w:t>
      </w:r>
      <w:r w:rsidR="00476816" w:rsidRPr="003C2A97">
        <w:t>s</w:t>
      </w:r>
      <w:r w:rsidRPr="003C2A97">
        <w:t xml:space="preserve">ed financial guidance. </w:t>
      </w:r>
      <w:r w:rsidR="00B56F82">
        <w:t>A</w:t>
      </w:r>
      <w:r w:rsidRPr="003C2A97">
        <w:t xml:space="preserve"> client's financial goals, risk tolerance, and investment horizon are unique, and by aligning investment strategies with these individual factors, advisors foster trust and long-term relationships. </w:t>
      </w:r>
      <w:r w:rsidR="00A870DE" w:rsidRPr="003C2A97">
        <w:t xml:space="preserve">By </w:t>
      </w:r>
      <w:r w:rsidR="00896394" w:rsidRPr="003C2A97">
        <w:t xml:space="preserve">acknowledging and attending </w:t>
      </w:r>
      <w:r w:rsidR="00A870DE" w:rsidRPr="003C2A97">
        <w:t>these biases, Wong ensures that his</w:t>
      </w:r>
      <w:r w:rsidRPr="003C2A97">
        <w:t xml:space="preserve"> clients </w:t>
      </w:r>
      <w:r w:rsidR="00A870DE" w:rsidRPr="003C2A97">
        <w:t xml:space="preserve">can </w:t>
      </w:r>
      <w:r w:rsidRPr="003C2A97">
        <w:t>navigate market volatility and make informed decisions</w:t>
      </w:r>
      <w:r w:rsidR="002C1FA5" w:rsidRPr="003C2A97">
        <w:t>.</w:t>
      </w:r>
    </w:p>
    <w:p w14:paraId="2F592AAC" w14:textId="17AE0479" w:rsidR="00A870DE" w:rsidRPr="003C2A97" w:rsidRDefault="00A6614C" w:rsidP="006A4871">
      <w:pPr>
        <w:pStyle w:val="NormalWeb"/>
        <w:spacing w:line="360" w:lineRule="auto"/>
        <w:jc w:val="both"/>
      </w:pPr>
      <w:r w:rsidRPr="003C2A97">
        <w:t xml:space="preserve">In addition to offering tailored advice, financial advisors play a crucial role in mitigating </w:t>
      </w:r>
      <w:r w:rsidR="00A870DE" w:rsidRPr="003C2A97">
        <w:t>behavioural</w:t>
      </w:r>
      <w:r w:rsidRPr="003C2A97">
        <w:t xml:space="preserve"> biases that can lead to poor investment decisions. Utili</w:t>
      </w:r>
      <w:r w:rsidR="0034130A" w:rsidRPr="003C2A97">
        <w:t>s</w:t>
      </w:r>
      <w:r w:rsidRPr="003C2A97">
        <w:t xml:space="preserve">ing insights from </w:t>
      </w:r>
      <w:r w:rsidR="00A870DE" w:rsidRPr="003C2A97">
        <w:t>behavioural</w:t>
      </w:r>
      <w:r w:rsidRPr="003C2A97">
        <w:t xml:space="preserve"> finance, they guide clients toward disciplined, long-term strategies, especially during </w:t>
      </w:r>
      <w:r w:rsidR="00C77851" w:rsidRPr="003C2A97">
        <w:t>times of uncertainty</w:t>
      </w:r>
      <w:r w:rsidRPr="003C2A97">
        <w:t xml:space="preserve"> when emotional responses are heightened. A comprehensive risk assessment through an investment strategy questionnaire helps advisors align strategies with clients' needs and risk tolerances. </w:t>
      </w:r>
      <w:r w:rsidR="00CC4A89" w:rsidRPr="003C2A97">
        <w:t xml:space="preserve">This, combined with a thorough needs analysis that considers factors such as age, income, and investment horizon, allows for the development of a tailored Statement of Investment Priorities and Goals. </w:t>
      </w:r>
      <w:r w:rsidR="00A870DE" w:rsidRPr="003C2A97">
        <w:t>This comprehensive approach enables financial advisors like Rudy Wong to not only enhance clients’ wealth preservation</w:t>
      </w:r>
      <w:r w:rsidR="00CD2433">
        <w:t>,</w:t>
      </w:r>
      <w:r w:rsidR="00A870DE" w:rsidRPr="003C2A97">
        <w:t xml:space="preserve"> but also address the psychological challenges that can hinder sound financial decision-making</w:t>
      </w:r>
      <w:r w:rsidR="00CA3C3A" w:rsidRPr="003C2A97">
        <w:t>.</w:t>
      </w:r>
    </w:p>
    <w:p w14:paraId="1F2D59E5" w14:textId="0EA16F94" w:rsidR="00A870DE" w:rsidRPr="003C2A97" w:rsidRDefault="00CA3C3A" w:rsidP="00F5333D">
      <w:pPr>
        <w:pStyle w:val="NormalWeb"/>
        <w:spacing w:line="360" w:lineRule="auto"/>
        <w:jc w:val="both"/>
      </w:pPr>
      <w:r w:rsidRPr="003C2A97">
        <w:lastRenderedPageBreak/>
        <w:t>To better assist his clients, Rudy Wong should prioritise addressing the strong loss aversion biases demonstrated by both Miller and the Kleins</w:t>
      </w:r>
      <w:r w:rsidR="00A870DE" w:rsidRPr="003C2A97">
        <w:t>. According to Kahneman and Tversky’s prospect theory individuals often feel the pain of losses more intensely than the pleasure of equivalent gains</w:t>
      </w:r>
      <w:r w:rsidR="00C77851" w:rsidRPr="003C2A97">
        <w:t>.</w:t>
      </w:r>
      <w:r w:rsidR="00A870DE" w:rsidRPr="003C2A97">
        <w:t xml:space="preserve"> </w:t>
      </w:r>
      <w:r w:rsidR="00C77851" w:rsidRPr="003C2A97">
        <w:t>This</w:t>
      </w:r>
      <w:r w:rsidR="00A870DE" w:rsidRPr="003C2A97">
        <w:t xml:space="preserve"> can lead to emotional decision-making during market downturns (Kahneman &amp; Tversky, 1979). For Miller, this fear manifests as a tendency to sell assets prematurely to avoid further losses, reflecting a reactive approach to market fluctuations. Similarly, the Kleins, despite their long-term investment outlook, experience heightened anxiety during stock price declines. </w:t>
      </w:r>
      <w:r w:rsidR="000704A7">
        <w:t>Through</w:t>
      </w:r>
      <w:r w:rsidR="00A870DE" w:rsidRPr="003C2A97">
        <w:t xml:space="preserve"> recognising and addressing these biases, Wong can provide more effective guidance, helping both clients make informed decisions that align with their long-term financial objectives.</w:t>
      </w:r>
    </w:p>
    <w:p w14:paraId="722BE4E2" w14:textId="388ADA43" w:rsidR="009B0519" w:rsidRPr="003C2A97" w:rsidRDefault="00717CCF" w:rsidP="00F5333D">
      <w:pPr>
        <w:pStyle w:val="NormalWeb"/>
        <w:spacing w:line="360" w:lineRule="auto"/>
        <w:jc w:val="both"/>
      </w:pPr>
      <w:r w:rsidRPr="003C2A97">
        <w:t>Miller’s overconfidence in his ability to predict market trends is another bias that Wong must address. As an advisor, Wong should emphasi</w:t>
      </w:r>
      <w:r w:rsidR="0034130A" w:rsidRPr="003C2A97">
        <w:t>s</w:t>
      </w:r>
      <w:r w:rsidRPr="003C2A97">
        <w:t xml:space="preserve">e that while past successes may have reinforced Miller’s confidence, relying solely on intuition or past trends without reassessing </w:t>
      </w:r>
      <w:r w:rsidR="00C77851" w:rsidRPr="003C2A97">
        <w:t xml:space="preserve">current </w:t>
      </w:r>
      <w:r w:rsidRPr="003C2A97">
        <w:t xml:space="preserve">market conditions can lead to excessive risk-taking. Overconfidence bias, as outlined in </w:t>
      </w:r>
      <w:r w:rsidR="00CA3C3A" w:rsidRPr="003C2A97">
        <w:t>behavioural</w:t>
      </w:r>
      <w:r w:rsidRPr="003C2A97">
        <w:t xml:space="preserve"> finance, often causes investors to ignore </w:t>
      </w:r>
      <w:proofErr w:type="gramStart"/>
      <w:r w:rsidRPr="003C2A97">
        <w:t>new information</w:t>
      </w:r>
      <w:proofErr w:type="gramEnd"/>
      <w:r w:rsidRPr="003C2A97">
        <w:t xml:space="preserve"> or expert advice, potentially leading to unbalanced portfolios. Wong can reference market </w:t>
      </w:r>
      <w:r w:rsidR="003D5302" w:rsidRPr="003C2A97">
        <w:t>studies</w:t>
      </w:r>
      <w:r w:rsidRPr="003C2A97">
        <w:t xml:space="preserve"> from the </w:t>
      </w:r>
      <w:r w:rsidR="003D5302" w:rsidRPr="003C2A97">
        <w:t>International Mon</w:t>
      </w:r>
      <w:r w:rsidR="007F4D00" w:rsidRPr="003C2A97">
        <w:t>e</w:t>
      </w:r>
      <w:r w:rsidR="003D5302" w:rsidRPr="003C2A97">
        <w:t>tary Fund (</w:t>
      </w:r>
      <w:r w:rsidRPr="003C2A97">
        <w:rPr>
          <w:rStyle w:val="Emphasis"/>
        </w:rPr>
        <w:t>IMF</w:t>
      </w:r>
      <w:r w:rsidR="003D5302" w:rsidRPr="003C2A97">
        <w:rPr>
          <w:rStyle w:val="Emphasis"/>
        </w:rPr>
        <w:t>)</w:t>
      </w:r>
      <w:r w:rsidRPr="003C2A97">
        <w:t xml:space="preserve"> </w:t>
      </w:r>
      <w:r w:rsidR="00CA3C3A" w:rsidRPr="003C2A97">
        <w:t xml:space="preserve">which </w:t>
      </w:r>
      <w:r w:rsidRPr="003C2A97">
        <w:t>demonstrate how unforeseen macroeconomic factors, such as interest rate changes or geopolitical events, can upend even the most confident predictions</w:t>
      </w:r>
      <w:r w:rsidR="007F4D00" w:rsidRPr="003C2A97">
        <w:t xml:space="preserve"> (Kose, Prasad, &amp; Terrones, 2003)</w:t>
      </w:r>
      <w:r w:rsidRPr="003C2A97">
        <w:t xml:space="preserve">. Wong should advise Miller to adopt a more evidence-based approach by periodically reviewing his portfolio and considering external advice. </w:t>
      </w:r>
      <w:r w:rsidR="00CD2433">
        <w:t>G</w:t>
      </w:r>
      <w:r w:rsidRPr="003C2A97">
        <w:t>rounding investment decisions in data rather than intuition</w:t>
      </w:r>
      <w:r w:rsidR="00CD2433">
        <w:t xml:space="preserve"> will enable Miller to </w:t>
      </w:r>
      <w:r w:rsidRPr="003C2A97">
        <w:t>balance his risk exposure and avoid the pitfalls of overconfidence</w:t>
      </w:r>
      <w:r w:rsidR="00C77851" w:rsidRPr="003C2A97">
        <w:t xml:space="preserve"> that border</w:t>
      </w:r>
      <w:r w:rsidR="00DF04FE" w:rsidRPr="003C2A97">
        <w:t>s</w:t>
      </w:r>
      <w:r w:rsidR="00C77851" w:rsidRPr="003C2A97">
        <w:t xml:space="preserve"> on hubris</w:t>
      </w:r>
      <w:r w:rsidRPr="003C2A97">
        <w:t>.</w:t>
      </w:r>
    </w:p>
    <w:p w14:paraId="1B9D4F89" w14:textId="4350CE31" w:rsidR="00F5333D" w:rsidRPr="003C2A97" w:rsidRDefault="00F5333D" w:rsidP="00F5333D">
      <w:pPr>
        <w:pStyle w:val="NormalWeb"/>
        <w:spacing w:line="360" w:lineRule="auto"/>
        <w:jc w:val="both"/>
      </w:pPr>
      <w:r w:rsidRPr="003C2A97">
        <w:rPr>
          <w:b/>
          <w:bCs/>
        </w:rPr>
        <w:t>Q1 [Conclusion]</w:t>
      </w:r>
    </w:p>
    <w:p w14:paraId="2F72EC14" w14:textId="47298CF2" w:rsidR="00F5333D" w:rsidRPr="003C2A97" w:rsidRDefault="00F5333D" w:rsidP="00F5333D">
      <w:pPr>
        <w:pStyle w:val="NormalWeb"/>
        <w:spacing w:line="360" w:lineRule="auto"/>
        <w:jc w:val="both"/>
      </w:pPr>
      <w:r w:rsidRPr="003C2A97">
        <w:t>Wong should advise all three clients to avoid reacting to short-term market volatility and instead focus on long-term strategies. Historica</w:t>
      </w:r>
      <w:r w:rsidR="00CD2433">
        <w:t xml:space="preserve">lly financial events such as the </w:t>
      </w:r>
      <w:r w:rsidRPr="003C2A97">
        <w:t xml:space="preserve">Great Depression of the 1930s, show that investors who sold in panic experienced significant </w:t>
      </w:r>
      <w:r w:rsidR="00CA3C3A" w:rsidRPr="003C2A97">
        <w:t>losses, while those who held on or bought at the bottom benefitted from t</w:t>
      </w:r>
      <w:r w:rsidR="00CD2433">
        <w:t xml:space="preserve">he </w:t>
      </w:r>
      <w:r w:rsidR="00CA3C3A" w:rsidRPr="003C2A97">
        <w:t>market recovery. For example</w:t>
      </w:r>
      <w:r w:rsidR="00DF04FE" w:rsidRPr="003C2A97">
        <w:t xml:space="preserve">, </w:t>
      </w:r>
      <w:r w:rsidR="00CA3C3A" w:rsidRPr="003C2A97">
        <w:t>an investor who purch</w:t>
      </w:r>
      <w:r w:rsidR="00901AF4" w:rsidRPr="003C2A97">
        <w:t xml:space="preserve">ased the S&amp;P market index </w:t>
      </w:r>
      <w:proofErr w:type="gramStart"/>
      <w:r w:rsidR="00901AF4" w:rsidRPr="003C2A97">
        <w:t>in the midst of</w:t>
      </w:r>
      <w:proofErr w:type="gramEnd"/>
      <w:r w:rsidR="00901AF4" w:rsidRPr="003C2A97">
        <w:t xml:space="preserve"> the </w:t>
      </w:r>
      <w:r w:rsidR="0034130A" w:rsidRPr="003C2A97">
        <w:t>G</w:t>
      </w:r>
      <w:r w:rsidR="00901AF4" w:rsidRPr="003C2A97">
        <w:t xml:space="preserve">reat </w:t>
      </w:r>
      <w:r w:rsidR="0034130A" w:rsidRPr="003C2A97">
        <w:t>D</w:t>
      </w:r>
      <w:r w:rsidR="00901AF4" w:rsidRPr="003C2A97">
        <w:t>epression</w:t>
      </w:r>
      <w:r w:rsidR="00CA3C3A" w:rsidRPr="003C2A97">
        <w:t xml:space="preserve"> in 1932</w:t>
      </w:r>
      <w:r w:rsidR="00901AF4" w:rsidRPr="003C2A97">
        <w:t xml:space="preserve"> and sold </w:t>
      </w:r>
      <w:r w:rsidR="00CA3C3A" w:rsidRPr="003C2A97">
        <w:t>their holdings 3</w:t>
      </w:r>
      <w:r w:rsidR="00901AF4" w:rsidRPr="003C2A97">
        <w:t xml:space="preserve">0 years later would have </w:t>
      </w:r>
      <w:r w:rsidR="00DF04FE" w:rsidRPr="003C2A97">
        <w:t>benefitted</w:t>
      </w:r>
      <w:r w:rsidR="00901AF4" w:rsidRPr="003C2A97">
        <w:t xml:space="preserve"> </w:t>
      </w:r>
      <w:r w:rsidR="00DF04FE" w:rsidRPr="003C2A97">
        <w:t xml:space="preserve">from </w:t>
      </w:r>
      <w:r w:rsidR="00901AF4" w:rsidRPr="003C2A97">
        <w:t xml:space="preserve">a return of over </w:t>
      </w:r>
      <w:r w:rsidR="00EA5E3A" w:rsidRPr="003C2A97">
        <w:t>3700% (or 12.45% compounding return p.a.) (</w:t>
      </w:r>
      <w:r w:rsidR="007F4D00" w:rsidRPr="003C2A97">
        <w:t>Huang, 2024</w:t>
      </w:r>
      <w:r w:rsidR="00EA5E3A" w:rsidRPr="003C2A97">
        <w:t>)</w:t>
      </w:r>
      <w:r w:rsidR="007F4D00" w:rsidRPr="003C2A97">
        <w:t xml:space="preserve"> (</w:t>
      </w:r>
      <w:r w:rsidR="0083180F" w:rsidRPr="003C2A97">
        <w:t>Webster, 2018</w:t>
      </w:r>
      <w:r w:rsidR="007F4D00" w:rsidRPr="003C2A97">
        <w:t>)</w:t>
      </w:r>
      <w:r w:rsidRPr="003C2A97">
        <w:t xml:space="preserve">. Research from institutions like the Federal Reserve and the World Bank demonstrates that markets are cyclical, and </w:t>
      </w:r>
      <w:r w:rsidRPr="003C2A97">
        <w:lastRenderedPageBreak/>
        <w:t xml:space="preserve">downturns </w:t>
      </w:r>
      <w:proofErr w:type="gramStart"/>
      <w:r w:rsidRPr="003C2A97">
        <w:t xml:space="preserve">are </w:t>
      </w:r>
      <w:r w:rsidR="00FD2D8D">
        <w:t xml:space="preserve">often </w:t>
      </w:r>
      <w:r w:rsidRPr="003C2A97">
        <w:t>followed</w:t>
      </w:r>
      <w:proofErr w:type="gramEnd"/>
      <w:r w:rsidRPr="003C2A97">
        <w:t xml:space="preserve"> by rebounds. To alleviate their concerns, Wong should recommend diversified portfolios to limit potential losses</w:t>
      </w:r>
      <w:r w:rsidR="0083180F" w:rsidRPr="003C2A97">
        <w:t xml:space="preserve"> (Georgieva, 2023)</w:t>
      </w:r>
      <w:r w:rsidRPr="003C2A97">
        <w:t xml:space="preserve">. </w:t>
      </w:r>
    </w:p>
    <w:p w14:paraId="79392E83" w14:textId="4B40EF73" w:rsidR="00F5333D" w:rsidRPr="003C2A97" w:rsidRDefault="00F5333D" w:rsidP="00F5333D">
      <w:pPr>
        <w:pStyle w:val="NormalWeb"/>
        <w:spacing w:line="360" w:lineRule="auto"/>
        <w:jc w:val="both"/>
      </w:pPr>
      <w:r w:rsidRPr="003C2A97">
        <w:t>Rudy Wong can implement a variety of investment strategies</w:t>
      </w:r>
      <w:r w:rsidR="00A55166">
        <w:t xml:space="preserve"> to advise Bob Miller and the Kleins</w:t>
      </w:r>
      <w:r w:rsidRPr="003C2A97">
        <w:t xml:space="preserve"> </w:t>
      </w:r>
      <w:r w:rsidR="00A55166">
        <w:t>to</w:t>
      </w:r>
      <w:r w:rsidRPr="003C2A97">
        <w:t xml:space="preserve"> account for their unique </w:t>
      </w:r>
      <w:r w:rsidR="0034130A" w:rsidRPr="003C2A97">
        <w:t>behavioural</w:t>
      </w:r>
      <w:r w:rsidRPr="003C2A97">
        <w:t xml:space="preserve"> biases and risk tolerances. For Miller, whose strong loss aversion leads him to prematurely sell assets during downturns, Wong could recommend a more passive investment approach focused on long-term stability. This might include a diversified portfolio of index funds or bonds, mitigating risk while still offering steady returns</w:t>
      </w:r>
      <w:r w:rsidR="0083180F" w:rsidRPr="003C2A97">
        <w:t xml:space="preserve"> (Georgieva, 2023)</w:t>
      </w:r>
      <w:r w:rsidRPr="003C2A97">
        <w:t>. For the Kleins, who also exhibit loss aversion but maintain a calmer temperament, Wong might employ a more active strategy, advising them to take advantage of market lows by increasing their equity holdings when prices drop, which can lower their cost base and enhance future returns</w:t>
      </w:r>
      <w:r w:rsidR="0083180F" w:rsidRPr="003C2A97">
        <w:t xml:space="preserve"> (Georgieva, 2023) (Loo, 2024)</w:t>
      </w:r>
      <w:r w:rsidRPr="003C2A97">
        <w:t>.</w:t>
      </w:r>
    </w:p>
    <w:p w14:paraId="1EF59455" w14:textId="376EDDF9" w:rsidR="00CA3C3A" w:rsidRPr="003C2A97" w:rsidRDefault="00F5333D" w:rsidP="00F5333D">
      <w:pPr>
        <w:pStyle w:val="NormalWeb"/>
        <w:spacing w:line="360" w:lineRule="auto"/>
        <w:jc w:val="both"/>
      </w:pPr>
      <w:r w:rsidRPr="003C2A97">
        <w:t xml:space="preserve">In terms of security selection, Wong could take either an active or passive approach depending on the clients' risk appetite. Active strategies, such as stock-picking based on market research, could appeal to the Kleins during market downturns when buying opportunities arise. On the other hand, Miller may benefit from a passive strategy, </w:t>
      </w:r>
      <w:proofErr w:type="gramStart"/>
      <w:r w:rsidR="00B56F82">
        <w:t>utilising</w:t>
      </w:r>
      <w:proofErr w:type="gramEnd"/>
      <w:r w:rsidRPr="003C2A97">
        <w:t xml:space="preserve"> broad market index funds or ETFs to limit the need for constant portfolio adjustments</w:t>
      </w:r>
      <w:r w:rsidR="0083180F" w:rsidRPr="003C2A97">
        <w:t xml:space="preserve"> (McAlpine, 2024)</w:t>
      </w:r>
      <w:r w:rsidRPr="003C2A97">
        <w:t xml:space="preserve">. </w:t>
      </w:r>
      <w:r w:rsidR="00CA3C3A" w:rsidRPr="003C2A97">
        <w:t xml:space="preserve">The advantage of passive strategies for both clients is that they minimise emotional reactions to market volatility, a key factor given their loss aversion tendencies. However, a disadvantage for Miller may be his tendency to act impulsively; even a passive portfolio requires discipline to hold investments during tough periods. For the Kleins, an active approach of “buying low” may align with their long-term </w:t>
      </w:r>
      <w:r w:rsidR="00C54B95" w:rsidRPr="003C2A97">
        <w:t>goals but</w:t>
      </w:r>
      <w:r w:rsidR="00CA3C3A" w:rsidRPr="003C2A97">
        <w:t xml:space="preserve"> could present risks if market conditions worsen before they improve, exacerbating their anxiety (Loo, 2024).</w:t>
      </w:r>
    </w:p>
    <w:p w14:paraId="2AD0D340" w14:textId="30852878" w:rsidR="00717CCF" w:rsidRPr="003C2A97" w:rsidRDefault="00F5333D" w:rsidP="006A4871">
      <w:pPr>
        <w:pStyle w:val="NormalWeb"/>
        <w:rPr>
          <w:rStyle w:val="Strong"/>
        </w:rPr>
      </w:pPr>
      <w:r w:rsidRPr="003C2A97">
        <w:rPr>
          <w:rStyle w:val="Strong"/>
        </w:rPr>
        <w:t>Q2 [Introduction]</w:t>
      </w:r>
    </w:p>
    <w:p w14:paraId="0993A83F" w14:textId="288929AC" w:rsidR="00F15113" w:rsidRPr="003C2A97" w:rsidRDefault="00F15113" w:rsidP="00F15113">
      <w:pPr>
        <w:pStyle w:val="NormalWeb"/>
        <w:spacing w:line="360" w:lineRule="auto"/>
        <w:jc w:val="both"/>
      </w:pPr>
      <w:r w:rsidRPr="003C2A97">
        <w:t xml:space="preserve">The current economic climate leading up to the </w:t>
      </w:r>
      <w:r w:rsidR="009B0519" w:rsidRPr="003C2A97">
        <w:t>GFC</w:t>
      </w:r>
      <w:r w:rsidRPr="003C2A97">
        <w:t xml:space="preserve"> has created considerable anxiety among investors, exacerbated by poor market performance in the preceding year. As a financial advisor at O’Hagan Securities, Rudy Wong plays a crucial role in navigating these turbulent times for his clients, including Bob Miller and the Kleins. </w:t>
      </w:r>
      <w:proofErr w:type="gramStart"/>
      <w:r w:rsidRPr="003C2A97">
        <w:t>In light of</w:t>
      </w:r>
      <w:proofErr w:type="gramEnd"/>
      <w:r w:rsidRPr="003C2A97">
        <w:t xml:space="preserve"> the heightened volatility, it is imperative for Wong to balance his confidence in providing sound financial advice with an understanding of his clients’ emotional responses to market fluctuations. This approach not only reinforces the trust clients place in their advisor but also ensures that their investment strategies </w:t>
      </w:r>
      <w:proofErr w:type="gramStart"/>
      <w:r w:rsidRPr="003C2A97">
        <w:t>are tailored</w:t>
      </w:r>
      <w:proofErr w:type="gramEnd"/>
      <w:r w:rsidRPr="003C2A97">
        <w:t xml:space="preserve"> to their unique </w:t>
      </w:r>
      <w:r w:rsidR="009B0519" w:rsidRPr="003C2A97">
        <w:t>behavioural</w:t>
      </w:r>
      <w:r w:rsidRPr="003C2A97">
        <w:t xml:space="preserve"> biases and emotional concerns. </w:t>
      </w:r>
    </w:p>
    <w:p w14:paraId="7C2D9F30" w14:textId="6243FB17" w:rsidR="00F15113" w:rsidRPr="003C2A97" w:rsidRDefault="00F15113" w:rsidP="00F15113">
      <w:pPr>
        <w:pStyle w:val="NormalWeb"/>
        <w:spacing w:line="360" w:lineRule="auto"/>
        <w:jc w:val="both"/>
        <w:rPr>
          <w:b/>
          <w:bCs/>
        </w:rPr>
      </w:pPr>
      <w:r w:rsidRPr="003C2A97">
        <w:rPr>
          <w:b/>
          <w:bCs/>
        </w:rPr>
        <w:lastRenderedPageBreak/>
        <w:t>Q2 [Body]</w:t>
      </w:r>
    </w:p>
    <w:p w14:paraId="1CB0EF3C" w14:textId="0CF67407" w:rsidR="00F15113" w:rsidRPr="003C2A97" w:rsidRDefault="00F15113" w:rsidP="00F15113">
      <w:pPr>
        <w:pStyle w:val="NormalWeb"/>
        <w:spacing w:line="360" w:lineRule="auto"/>
        <w:jc w:val="both"/>
      </w:pPr>
      <w:r w:rsidRPr="003C2A97">
        <w:t xml:space="preserve">Rudy Wong’s confidence as a financial advisor stems from his qualifications and experience in portfolio management, enabling him to offer valuable insights during challenging market conditions. His understanding of </w:t>
      </w:r>
      <w:r w:rsidR="009B0519" w:rsidRPr="003C2A97">
        <w:t>behavioural</w:t>
      </w:r>
      <w:r w:rsidRPr="003C2A97">
        <w:t xml:space="preserve"> finance equips him to recogni</w:t>
      </w:r>
      <w:r w:rsidR="009B0519" w:rsidRPr="003C2A97">
        <w:t>s</w:t>
      </w:r>
      <w:r w:rsidRPr="003C2A97">
        <w:t xml:space="preserve">e the emotional toll that market volatility can take on investors, allowing him to provide informed advice that mitigates their fears. Research indicates that confidence in an advisor's expertise enhances client trust, which is vital for compliance with financial recommendations (Fenton-O’Creevy et al., 2011). In periods of uncertainty, an advisor's confidence can also influence clients’ decision-making, fostering a more rational approach to investments </w:t>
      </w:r>
      <w:r w:rsidR="00DD3C7F" w:rsidRPr="003C2A97">
        <w:t>(Zhu et al., 2024)</w:t>
      </w:r>
      <w:r w:rsidRPr="003C2A97">
        <w:t>. By projecting assurance in his strategies, Wong can help alleviate the anxiety clients experience during market downturns, reinforcing their trust in his guidance.</w:t>
      </w:r>
    </w:p>
    <w:p w14:paraId="239A4339" w14:textId="3CE95421" w:rsidR="00F15113" w:rsidRPr="003C2A97" w:rsidRDefault="00F15113" w:rsidP="00F15113">
      <w:pPr>
        <w:pStyle w:val="NormalWeb"/>
        <w:spacing w:line="360" w:lineRule="auto"/>
        <w:jc w:val="both"/>
      </w:pPr>
      <w:r w:rsidRPr="003C2A97">
        <w:t xml:space="preserve">In an environment </w:t>
      </w:r>
      <w:r w:rsidR="00295A1A">
        <w:t>with significant</w:t>
      </w:r>
      <w:r w:rsidRPr="003C2A97">
        <w:t xml:space="preserve"> market fluctuations, it is essential for Wong to understand and validate his clients’ emotional concerns regarding their investments. Acknowledging the psychological impact of recent </w:t>
      </w:r>
      <w:proofErr w:type="gramStart"/>
      <w:r w:rsidRPr="003C2A97">
        <w:t>poor performance</w:t>
      </w:r>
      <w:proofErr w:type="gramEnd"/>
      <w:r w:rsidRPr="003C2A97">
        <w:t xml:space="preserve"> can help him build rapport and trust with clients, as emotions such as fear and anxiety often dominate decision-making during volatile periods (Kahneman &amp; Tversky, 1979). By actively listening to his clients and empathi</w:t>
      </w:r>
      <w:r w:rsidR="009B0519" w:rsidRPr="003C2A97">
        <w:t>s</w:t>
      </w:r>
      <w:r w:rsidRPr="003C2A97">
        <w:t xml:space="preserve">ing with their concerns, Wong can create a supportive atmosphere that encourages open dialogue about their investment strategies. Research suggests that clients who feel their emotional responses </w:t>
      </w:r>
      <w:proofErr w:type="gramStart"/>
      <w:r w:rsidRPr="003C2A97">
        <w:t>are acknowledged</w:t>
      </w:r>
      <w:proofErr w:type="gramEnd"/>
      <w:r w:rsidRPr="003C2A97">
        <w:t xml:space="preserve"> and validated are more likely to adhere to their advisor's recommendations, resulting in better long-term investment outcomes</w:t>
      </w:r>
      <w:r w:rsidR="00C74141" w:rsidRPr="003C2A97">
        <w:t xml:space="preserve"> (Gallozzi, 2024)</w:t>
      </w:r>
      <w:r w:rsidRPr="003C2A97">
        <w:t xml:space="preserve">. </w:t>
      </w:r>
      <w:r w:rsidR="00DF04FE" w:rsidRPr="003C2A97">
        <w:t>Accordingly</w:t>
      </w:r>
      <w:r w:rsidRPr="003C2A97">
        <w:t>, Wong should prioriti</w:t>
      </w:r>
      <w:r w:rsidR="009B0519" w:rsidRPr="003C2A97">
        <w:t>s</w:t>
      </w:r>
      <w:r w:rsidRPr="003C2A97">
        <w:t>e emotional intelligence as a fundamental component of his advisory approach.</w:t>
      </w:r>
    </w:p>
    <w:p w14:paraId="72D92117" w14:textId="616C3543" w:rsidR="00F15113" w:rsidRPr="003C2A97" w:rsidRDefault="00F15113" w:rsidP="00F15113">
      <w:pPr>
        <w:pStyle w:val="NormalWeb"/>
        <w:spacing w:line="360" w:lineRule="auto"/>
        <w:jc w:val="both"/>
      </w:pPr>
      <w:r w:rsidRPr="003C2A97">
        <w:t xml:space="preserve">To effectively address the </w:t>
      </w:r>
      <w:r w:rsidR="0034130A" w:rsidRPr="003C2A97">
        <w:t>behavioural</w:t>
      </w:r>
      <w:r w:rsidRPr="003C2A97">
        <w:t xml:space="preserve"> biases and emotional responses of Bob Miller and the Kleins, Wong’s advice must </w:t>
      </w:r>
      <w:r w:rsidR="009B0519" w:rsidRPr="003C2A97">
        <w:t>maintain</w:t>
      </w:r>
      <w:r w:rsidRPr="003C2A97">
        <w:t xml:space="preserve"> individuali</w:t>
      </w:r>
      <w:r w:rsidR="0034130A" w:rsidRPr="003C2A97">
        <w:t>s</w:t>
      </w:r>
      <w:r w:rsidRPr="003C2A97">
        <w:t xml:space="preserve">ed and tailored </w:t>
      </w:r>
      <w:r w:rsidR="009B0519" w:rsidRPr="003C2A97">
        <w:t>advice for</w:t>
      </w:r>
      <w:r w:rsidRPr="003C2A97">
        <w:t xml:space="preserve"> each client's unique circumstances. A standardi</w:t>
      </w:r>
      <w:r w:rsidR="009B0519" w:rsidRPr="003C2A97">
        <w:t>s</w:t>
      </w:r>
      <w:r w:rsidRPr="003C2A97">
        <w:t xml:space="preserve">ed approach may </w:t>
      </w:r>
      <w:r w:rsidR="00000D5B" w:rsidRPr="003C2A97">
        <w:t>worsen</w:t>
      </w:r>
      <w:r w:rsidRPr="003C2A97">
        <w:t xml:space="preserve"> clients' fears and lead to poor investment decisions, particularly for those exhibiting biases such as loss aversion </w:t>
      </w:r>
      <w:r w:rsidR="00B05DF1" w:rsidRPr="003C2A97">
        <w:t>(Gallozzi, 2024)</w:t>
      </w:r>
      <w:r w:rsidRPr="003C2A97">
        <w:t>. By taking the time to understand each client’s financial goals, risk tolerance, and emotional triggers, Wong can design personali</w:t>
      </w:r>
      <w:r w:rsidR="009B0519" w:rsidRPr="003C2A97">
        <w:t>s</w:t>
      </w:r>
      <w:r w:rsidRPr="003C2A97">
        <w:t xml:space="preserve">ed strategies that resonate with their specific concerns. Employing client-specific scenarios can illustrate potential outcomes and frame discussions around individual objectives, reinforcing the relevance of his recommendations </w:t>
      </w:r>
      <w:r w:rsidR="00B05DF1" w:rsidRPr="003C2A97">
        <w:t xml:space="preserve">(Gallozzi, 2024) </w:t>
      </w:r>
      <w:r w:rsidRPr="003C2A97">
        <w:t>(Thaler &amp; Sunstein, 2008). Such tailored advice not only enhances the effectiveness of Wong’s guidance but also empowers clients to make informed decisions that align with their long-term financial aspirations.</w:t>
      </w:r>
    </w:p>
    <w:p w14:paraId="77A0AC8F" w14:textId="2531E03F" w:rsidR="00F15113" w:rsidRPr="003C2A97" w:rsidRDefault="00F15113" w:rsidP="00F15113">
      <w:pPr>
        <w:pStyle w:val="NormalWeb"/>
        <w:spacing w:line="360" w:lineRule="auto"/>
        <w:jc w:val="both"/>
      </w:pPr>
      <w:r w:rsidRPr="003C2A97">
        <w:lastRenderedPageBreak/>
        <w:t xml:space="preserve">To </w:t>
      </w:r>
      <w:r w:rsidR="009B0519" w:rsidRPr="003C2A97">
        <w:t>instil</w:t>
      </w:r>
      <w:r w:rsidRPr="003C2A97">
        <w:t xml:space="preserve"> confidence in his clients, Wong should employ emotional strategies that address their immediate concerns while reinforcing a long-term perspective. By utili</w:t>
      </w:r>
      <w:r w:rsidR="0034130A" w:rsidRPr="003C2A97">
        <w:t>s</w:t>
      </w:r>
      <w:r w:rsidRPr="003C2A97">
        <w:t>ing storytelling techniques to frame historical market recoveries, Wong can contextuali</w:t>
      </w:r>
      <w:r w:rsidR="0034130A" w:rsidRPr="003C2A97">
        <w:t>s</w:t>
      </w:r>
      <w:r w:rsidRPr="003C2A97">
        <w:t>e current downturns and present them as potential buying opportunities</w:t>
      </w:r>
      <w:r w:rsidR="00B05DF1" w:rsidRPr="003C2A97">
        <w:t xml:space="preserve"> (Gallozzi, 2024). </w:t>
      </w:r>
      <w:r w:rsidRPr="003C2A97">
        <w:t>This approach helps to alleviate anxiety by reminding clients of the cyclical nature of financial markets and the potential for recovery</w:t>
      </w:r>
      <w:r w:rsidR="0034130A" w:rsidRPr="003C2A97">
        <w:t xml:space="preserve"> (</w:t>
      </w:r>
      <w:r w:rsidR="00030862" w:rsidRPr="003C2A97">
        <w:t>a</w:t>
      </w:r>
      <w:r w:rsidR="0034130A" w:rsidRPr="003C2A97">
        <w:t xml:space="preserve">s outlined in </w:t>
      </w:r>
      <w:r w:rsidR="00030862" w:rsidRPr="003C2A97">
        <w:t>Exhibit 12)</w:t>
      </w:r>
      <w:r w:rsidRPr="003C2A97">
        <w:t>. Furthermore, Wong can leverage historical data to illustrate the resilience of investments over time, encouraging clients to adopt a patient and rational mindset.</w:t>
      </w:r>
      <w:r w:rsidR="000704A7">
        <w:t xml:space="preserve"> R</w:t>
      </w:r>
      <w:r w:rsidRPr="003C2A97">
        <w:t xml:space="preserve">egular communication about portfolio performance and market trends will help maintain client engagement and trust, allowing Wong to counteract short-term emotional responses with a focus on long-term gains (Thaler &amp; Sunstein, 2008). By fostering </w:t>
      </w:r>
      <w:r w:rsidR="005773F7" w:rsidRPr="003C2A97">
        <w:t>a</w:t>
      </w:r>
      <w:r w:rsidRPr="003C2A97">
        <w:t xml:space="preserve"> </w:t>
      </w:r>
      <w:r w:rsidR="005773F7" w:rsidRPr="003C2A97">
        <w:t xml:space="preserve">supportive and understanding </w:t>
      </w:r>
      <w:r w:rsidRPr="003C2A97">
        <w:t xml:space="preserve">environment, Wong can </w:t>
      </w:r>
      <w:r w:rsidR="005773F7" w:rsidRPr="003C2A97">
        <w:t xml:space="preserve">more </w:t>
      </w:r>
      <w:r w:rsidRPr="003C2A97">
        <w:t>effectively guide his clients through periods of uncertainty.</w:t>
      </w:r>
    </w:p>
    <w:p w14:paraId="7CE20630" w14:textId="74256375" w:rsidR="00F15113" w:rsidRPr="003C2A97" w:rsidRDefault="00F15113" w:rsidP="00F15113">
      <w:pPr>
        <w:pStyle w:val="NormalWeb"/>
        <w:spacing w:line="360" w:lineRule="auto"/>
        <w:jc w:val="both"/>
        <w:rPr>
          <w:b/>
          <w:bCs/>
        </w:rPr>
      </w:pPr>
      <w:r w:rsidRPr="003C2A97">
        <w:rPr>
          <w:b/>
          <w:bCs/>
        </w:rPr>
        <w:t>Q2 [Conclusion]</w:t>
      </w:r>
    </w:p>
    <w:p w14:paraId="710EE2E1" w14:textId="0679E943" w:rsidR="00F15113" w:rsidRPr="003C2A97" w:rsidRDefault="00F15113" w:rsidP="00F15113">
      <w:pPr>
        <w:pStyle w:val="NormalWeb"/>
        <w:spacing w:line="360" w:lineRule="auto"/>
        <w:jc w:val="both"/>
      </w:pPr>
      <w:r w:rsidRPr="003C2A97">
        <w:t>Rudy Wong must navigate the balance of maintaining confidence in his financial expertise whil</w:t>
      </w:r>
      <w:r w:rsidR="00295A1A">
        <w:t>st</w:t>
      </w:r>
      <w:r w:rsidRPr="003C2A97">
        <w:t xml:space="preserve"> validating the emotional concerns of his clients during turbulent market conditions. His approach should prioriti</w:t>
      </w:r>
      <w:r w:rsidR="00030862" w:rsidRPr="003C2A97">
        <w:t>s</w:t>
      </w:r>
      <w:r w:rsidRPr="003C2A97">
        <w:t xml:space="preserve">e emotional intelligence, ensuring that clients feel heard and supported as they make investment decisions. Wong’s ability to blend rational analysis with empathetic communication will enhance client trust and help guide them toward achieving their long-term financial </w:t>
      </w:r>
      <w:r w:rsidR="005773F7" w:rsidRPr="003C2A97">
        <w:t>goal</w:t>
      </w:r>
      <w:r w:rsidRPr="003C2A97">
        <w:t xml:space="preserve">s, even </w:t>
      </w:r>
      <w:r w:rsidR="005773F7" w:rsidRPr="003C2A97">
        <w:t>when</w:t>
      </w:r>
      <w:r w:rsidRPr="003C2A97">
        <w:t xml:space="preserve"> face</w:t>
      </w:r>
      <w:r w:rsidR="005773F7" w:rsidRPr="003C2A97">
        <w:t>d</w:t>
      </w:r>
      <w:r w:rsidRPr="003C2A97">
        <w:t xml:space="preserve"> </w:t>
      </w:r>
      <w:r w:rsidR="005773F7" w:rsidRPr="003C2A97">
        <w:t>with</w:t>
      </w:r>
      <w:r w:rsidRPr="003C2A97">
        <w:t xml:space="preserve"> market uncertainty. As the financial landscape continues to evolve, Wong's commitment to understanding and addressing the emotional aspects of investing will be paramount in fostering resilience and success for his clients.</w:t>
      </w:r>
    </w:p>
    <w:p w14:paraId="24B7F6E2" w14:textId="77777777" w:rsidR="00873AC7" w:rsidRPr="003C2A97" w:rsidRDefault="00873AC7">
      <w:pPr>
        <w:rPr>
          <w:rFonts w:ascii="Times New Roman" w:eastAsia="Times New Roman" w:hAnsi="Times New Roman" w:cs="Times New Roman"/>
          <w:b/>
          <w:bCs/>
          <w:kern w:val="0"/>
          <w:sz w:val="24"/>
          <w:szCs w:val="24"/>
          <w:lang w:eastAsia="en-AU"/>
          <w14:ligatures w14:val="none"/>
        </w:rPr>
      </w:pPr>
      <w:r w:rsidRPr="003C2A97">
        <w:rPr>
          <w:b/>
          <w:bCs/>
        </w:rPr>
        <w:br w:type="page"/>
      </w:r>
    </w:p>
    <w:p w14:paraId="5A143D2E" w14:textId="72F10E21" w:rsidR="00F15113" w:rsidRDefault="00F15113" w:rsidP="00F15113">
      <w:pPr>
        <w:pStyle w:val="NormalWeb"/>
        <w:rPr>
          <w:b/>
          <w:bCs/>
        </w:rPr>
      </w:pPr>
      <w:r>
        <w:rPr>
          <w:b/>
          <w:bCs/>
        </w:rPr>
        <w:lastRenderedPageBreak/>
        <w:t>References</w:t>
      </w:r>
    </w:p>
    <w:p w14:paraId="1A03C9F4" w14:textId="77777777" w:rsidR="00B05DF1" w:rsidRDefault="00B05DF1" w:rsidP="00B05DF1">
      <w:pPr>
        <w:pStyle w:val="NormalWeb"/>
        <w:ind w:left="567" w:hanging="567"/>
      </w:pPr>
      <w:r>
        <w:t xml:space="preserve">Fention-O’Creevy, M., Nicholson, N. and Willman, P. (2011) </w:t>
      </w:r>
      <w:r>
        <w:rPr>
          <w:i/>
          <w:iCs/>
        </w:rPr>
        <w:t xml:space="preserve">Thinking, </w:t>
      </w:r>
      <w:proofErr w:type="gramStart"/>
      <w:r>
        <w:rPr>
          <w:i/>
          <w:iCs/>
        </w:rPr>
        <w:t>feeling</w:t>
      </w:r>
      <w:proofErr w:type="gramEnd"/>
      <w:r>
        <w:rPr>
          <w:i/>
          <w:iCs/>
        </w:rPr>
        <w:t xml:space="preserve"> and deciding: The influence of emotions ...</w:t>
      </w:r>
      <w:r>
        <w:t xml:space="preserve">, </w:t>
      </w:r>
      <w:r>
        <w:rPr>
          <w:i/>
          <w:iCs/>
        </w:rPr>
        <w:t>Journal of Organizational Behavior</w:t>
      </w:r>
      <w:r>
        <w:t xml:space="preserve">. Available at: https://onlinelibrary.wiley.com/doi/10.1002/job.720 (Accessed: 05 October 2024). </w:t>
      </w:r>
    </w:p>
    <w:p w14:paraId="1E675136" w14:textId="77777777" w:rsidR="00B05DF1" w:rsidRDefault="00B05DF1" w:rsidP="00B05DF1">
      <w:pPr>
        <w:pStyle w:val="NormalWeb"/>
        <w:ind w:left="567" w:hanging="567"/>
      </w:pPr>
      <w:r>
        <w:t xml:space="preserve">Gallozzi, D. (2024) </w:t>
      </w:r>
      <w:r>
        <w:rPr>
          <w:i/>
          <w:iCs/>
        </w:rPr>
        <w:t>Why 40% of clients say an advisor’s value is emotional support</w:t>
      </w:r>
      <w:r>
        <w:t xml:space="preserve">, </w:t>
      </w:r>
      <w:r>
        <w:rPr>
          <w:i/>
          <w:iCs/>
        </w:rPr>
        <w:t>Nitrogen Wealth</w:t>
      </w:r>
      <w:r>
        <w:t xml:space="preserve">. Available at: https://nitrogenwealth.com/blog/why-40-of-clients-say-an-advisors-value-is-emotional-support/ (Accessed: 05 October 2024). </w:t>
      </w:r>
    </w:p>
    <w:p w14:paraId="7CA3479A" w14:textId="77777777" w:rsidR="00B05DF1" w:rsidRDefault="00B05DF1" w:rsidP="00B05DF1">
      <w:pPr>
        <w:pStyle w:val="NormalWeb"/>
        <w:ind w:left="567" w:hanging="567"/>
      </w:pPr>
      <w:r>
        <w:t xml:space="preserve">Georgieva, K. (2023) </w:t>
      </w:r>
      <w:r>
        <w:rPr>
          <w:i/>
          <w:iCs/>
        </w:rPr>
        <w:t>Confronting fragmentation where it matters most: Trade, debt, and climate action</w:t>
      </w:r>
      <w:r>
        <w:t xml:space="preserve">, </w:t>
      </w:r>
      <w:r>
        <w:rPr>
          <w:i/>
          <w:iCs/>
        </w:rPr>
        <w:t>IMF</w:t>
      </w:r>
      <w:r>
        <w:t xml:space="preserve">. Available at: https://www.imf.org/en/Blogs/Articles/2023/01/16/Confronting-fragmentation-where-it-matters-most-trade-debt-and-climate-action#:~:text=IMF%20research%20shows%20that%20diversification,measures%20on%20trade%20or%20investment. (Accessed: 05 October 2024). </w:t>
      </w:r>
    </w:p>
    <w:p w14:paraId="1EFEC79F" w14:textId="77777777" w:rsidR="00B05DF1" w:rsidRDefault="00B05DF1" w:rsidP="00B05DF1">
      <w:pPr>
        <w:pStyle w:val="NormalWeb"/>
        <w:ind w:left="567" w:hanging="567"/>
      </w:pPr>
      <w:r>
        <w:t xml:space="preserve">Huang, S. (2024) </w:t>
      </w:r>
      <w:r>
        <w:rPr>
          <w:i/>
          <w:iCs/>
        </w:rPr>
        <w:t>98 years of S&amp;P 500 bull and Bear Markets </w:t>
      </w:r>
      <w:r>
        <w:t xml:space="preserve">, </w:t>
      </w:r>
      <w:r>
        <w:rPr>
          <w:i/>
          <w:iCs/>
        </w:rPr>
        <w:t>Sensible Financial Planning</w:t>
      </w:r>
      <w:r>
        <w:t xml:space="preserve">. Available at: https://www.sensiblefinancial.com/how-has-the-sp-500-performed-over-the-last-98-years/#:~:text=A%20hundred%20dollars%20invested%20with,annual%20growth%20rate%20of%2010.3%25. (Accessed: 05 October 2024). </w:t>
      </w:r>
    </w:p>
    <w:p w14:paraId="02C9A13B" w14:textId="7433064F" w:rsidR="00B05DF1" w:rsidRPr="00B05DF1" w:rsidRDefault="00B05DF1" w:rsidP="00B05DF1">
      <w:pPr>
        <w:pStyle w:val="NormalWeb"/>
        <w:ind w:left="567" w:hanging="567"/>
      </w:pPr>
      <w:r w:rsidRPr="00B05DF1">
        <w:t xml:space="preserve">Kahneman, D., &amp; Tversky, A. (1979). Prospect Theory: </w:t>
      </w:r>
      <w:r w:rsidRPr="00B05DF1">
        <w:rPr>
          <w:i/>
          <w:iCs/>
        </w:rPr>
        <w:t>An Analysis of Decision under Risk</w:t>
      </w:r>
      <w:r w:rsidRPr="00B05DF1">
        <w:t xml:space="preserve">. Econometrica, 47(2), 263–291. </w:t>
      </w:r>
      <w:r>
        <w:t>Available at:</w:t>
      </w:r>
      <w:r w:rsidRPr="00B05DF1">
        <w:t xml:space="preserve"> </w:t>
      </w:r>
      <w:hyperlink r:id="rId7" w:history="1">
        <w:r w:rsidRPr="00B05DF1">
          <w:t>https://doi.org/10.2307/1914185</w:t>
        </w:r>
      </w:hyperlink>
      <w:r>
        <w:t xml:space="preserve"> (Accessed: 05 October 2024).</w:t>
      </w:r>
    </w:p>
    <w:p w14:paraId="2F3CEF29" w14:textId="5D62707E" w:rsidR="00B05DF1" w:rsidRDefault="00B05DF1" w:rsidP="00B05DF1">
      <w:pPr>
        <w:pStyle w:val="NormalWeb"/>
        <w:ind w:left="567" w:hanging="567"/>
      </w:pPr>
      <w:r>
        <w:t xml:space="preserve">Kose, A., Prasad, E. and Terrones, M. (2003) </w:t>
      </w:r>
      <w:r>
        <w:rPr>
          <w:i/>
          <w:iCs/>
        </w:rPr>
        <w:t>Financial Integration and macroeconomic volatility</w:t>
      </w:r>
      <w:r>
        <w:t xml:space="preserve">, </w:t>
      </w:r>
      <w:r w:rsidR="00FD2D8D">
        <w:rPr>
          <w:i/>
          <w:iCs/>
        </w:rPr>
        <w:t>International Monetary Fund</w:t>
      </w:r>
      <w:r>
        <w:t xml:space="preserve">. Available at: https://www.imf.org/external/pubs/ft/staffp/2002/00-00/pdf/kose.pdf (Accessed: 05 October 2024). </w:t>
      </w:r>
    </w:p>
    <w:p w14:paraId="4FAFCDE9" w14:textId="77777777" w:rsidR="00B05DF1" w:rsidRDefault="00B05DF1" w:rsidP="00B05DF1">
      <w:pPr>
        <w:pStyle w:val="NormalWeb"/>
        <w:ind w:left="567" w:hanging="567"/>
      </w:pPr>
      <w:r>
        <w:t xml:space="preserve">Loo, A. (2024) </w:t>
      </w:r>
      <w:r>
        <w:rPr>
          <w:i/>
          <w:iCs/>
        </w:rPr>
        <w:t>Buying the dip</w:t>
      </w:r>
      <w:r>
        <w:t xml:space="preserve">, </w:t>
      </w:r>
      <w:r>
        <w:rPr>
          <w:i/>
          <w:iCs/>
        </w:rPr>
        <w:t>Corporate Finance Institute</w:t>
      </w:r>
      <w:r>
        <w:t xml:space="preserve">. Available at: https://corporatefinanceinstitute.com/resources/career-map/sell-side/capital-markets/buying-the-dip/ (Accessed: 05 October 2024). </w:t>
      </w:r>
    </w:p>
    <w:p w14:paraId="267B5191" w14:textId="77777777" w:rsidR="00B05DF1" w:rsidRDefault="00B05DF1" w:rsidP="00B05DF1">
      <w:pPr>
        <w:pStyle w:val="NormalWeb"/>
        <w:ind w:left="567" w:hanging="567"/>
      </w:pPr>
      <w:r>
        <w:t xml:space="preserve">McAlpine, J. (2024) </w:t>
      </w:r>
      <w:r>
        <w:rPr>
          <w:i/>
          <w:iCs/>
        </w:rPr>
        <w:t>The rise of passive investing in today’s market</w:t>
      </w:r>
      <w:r>
        <w:t xml:space="preserve">, </w:t>
      </w:r>
      <w:r>
        <w:rPr>
          <w:i/>
          <w:iCs/>
        </w:rPr>
        <w:t>Morningstar UK</w:t>
      </w:r>
      <w:r>
        <w:t xml:space="preserve">. Available at: https://www.morningstar.co.uk/uk/news/250068/the-rise-of-passive-investing-in-todays-market.aspx#:~:text=funds%20(ETFs).-,Index%20Mutual%20Funds,stocks%20or%20using%20optimised%20sampling. (Accessed: 05 October 2024). </w:t>
      </w:r>
    </w:p>
    <w:p w14:paraId="09E94979" w14:textId="3D3B2824" w:rsidR="00B05DF1" w:rsidRDefault="00134265" w:rsidP="00B05DF1">
      <w:pPr>
        <w:pStyle w:val="NormalWeb"/>
        <w:ind w:left="567" w:hanging="567"/>
      </w:pPr>
      <w:r>
        <w:t xml:space="preserve">Thaler, R.H. and Sunstein, C.R. (2008) </w:t>
      </w:r>
      <w:r>
        <w:rPr>
          <w:rStyle w:val="Emphasis"/>
          <w:rFonts w:eastAsiaTheme="majorEastAsia"/>
        </w:rPr>
        <w:t>Nudge: Improving decisions about health, wealth, and happiness</w:t>
      </w:r>
      <w:r>
        <w:t>. New Haven, CT: Yale University Press. ISBN 978-0143115267.</w:t>
      </w:r>
    </w:p>
    <w:p w14:paraId="63F4ED0F" w14:textId="431D5F10" w:rsidR="00B05DF1" w:rsidRDefault="00FD2D8D" w:rsidP="00B05DF1">
      <w:pPr>
        <w:pStyle w:val="NormalWeb"/>
        <w:ind w:left="567" w:hanging="567"/>
      </w:pPr>
      <w:r>
        <w:t>Webster,</w:t>
      </w:r>
      <w:r w:rsidR="00B05DF1">
        <w:t xml:space="preserve"> I. (2018) </w:t>
      </w:r>
      <w:r w:rsidR="00B05DF1">
        <w:rPr>
          <w:i/>
          <w:iCs/>
        </w:rPr>
        <w:t>S&amp;P 500: $100 in 1932 → $3,802.26 in 1962</w:t>
      </w:r>
      <w:r w:rsidR="00B05DF1">
        <w:t xml:space="preserve">, </w:t>
      </w:r>
      <w:r w:rsidR="00B05DF1">
        <w:rPr>
          <w:i/>
          <w:iCs/>
        </w:rPr>
        <w:t>S&amp;P 500 Returns since 1932</w:t>
      </w:r>
      <w:r w:rsidR="00B05DF1">
        <w:t xml:space="preserve">. Available at: https://www.officialdata.org/us/stocks/s-p-500/1932?amount=100&amp;endYear=1962 (Accessed: 05 October 2024). </w:t>
      </w:r>
    </w:p>
    <w:p w14:paraId="463739EE" w14:textId="77777777" w:rsidR="00B05DF1" w:rsidRDefault="00B05DF1" w:rsidP="00B05DF1">
      <w:pPr>
        <w:pStyle w:val="NormalWeb"/>
        <w:ind w:left="567" w:hanging="567"/>
      </w:pPr>
      <w:r>
        <w:lastRenderedPageBreak/>
        <w:t xml:space="preserve">Zhu, R. </w:t>
      </w:r>
      <w:r>
        <w:rPr>
          <w:i/>
          <w:iCs/>
        </w:rPr>
        <w:t>et al.</w:t>
      </w:r>
      <w:r>
        <w:t xml:space="preserve"> (2024) </w:t>
      </w:r>
      <w:r>
        <w:rPr>
          <w:i/>
          <w:iCs/>
        </w:rPr>
        <w:t>When advisors do not know what is best for advisees: Uncertainty inhibits advice giving</w:t>
      </w:r>
      <w:r>
        <w:t xml:space="preserve">, </w:t>
      </w:r>
      <w:r>
        <w:rPr>
          <w:i/>
          <w:iCs/>
        </w:rPr>
        <w:t>PsyCh journal</w:t>
      </w:r>
      <w:r>
        <w:t xml:space="preserve">. Available at: https://www.ncbi.nlm.nih.gov/pmc/articles/PMC11317185/ (Accessed: 05 October 2024). </w:t>
      </w:r>
    </w:p>
    <w:p w14:paraId="7F0D6EA5" w14:textId="77777777" w:rsidR="007F4D00" w:rsidRDefault="007F4D00" w:rsidP="00F15113">
      <w:pPr>
        <w:pStyle w:val="NormalWeb"/>
        <w:rPr>
          <w:rFonts w:ascii="Helvetica" w:hAnsi="Helvetica"/>
          <w:color w:val="000000"/>
          <w:spacing w:val="-5"/>
          <w:shd w:val="clear" w:color="auto" w:fill="FFFFFF"/>
        </w:rPr>
      </w:pPr>
    </w:p>
    <w:p w14:paraId="6D30B41C" w14:textId="77777777" w:rsidR="00134265" w:rsidRDefault="00134265">
      <w:pPr>
        <w:rPr>
          <w:rFonts w:ascii="Times New Roman" w:eastAsia="Times New Roman" w:hAnsi="Times New Roman" w:cs="Times New Roman"/>
          <w:b/>
          <w:bCs/>
          <w:kern w:val="0"/>
          <w:sz w:val="24"/>
          <w:szCs w:val="24"/>
          <w:lang w:eastAsia="en-AU"/>
          <w14:ligatures w14:val="none"/>
        </w:rPr>
      </w:pPr>
      <w:r>
        <w:rPr>
          <w:b/>
          <w:bCs/>
        </w:rPr>
        <w:br w:type="page"/>
      </w:r>
    </w:p>
    <w:p w14:paraId="66B24DB7" w14:textId="002381A1" w:rsidR="00F15113" w:rsidRPr="00873AC7" w:rsidRDefault="00873AC7" w:rsidP="00F15113">
      <w:pPr>
        <w:pStyle w:val="NormalWeb"/>
        <w:rPr>
          <w:b/>
          <w:bCs/>
        </w:rPr>
      </w:pPr>
      <w:r w:rsidRPr="00873AC7">
        <w:rPr>
          <w:b/>
          <w:bCs/>
        </w:rPr>
        <w:lastRenderedPageBreak/>
        <w:t>Appendix 1: S&amp;P 500 returns from 1926</w:t>
      </w:r>
    </w:p>
    <w:p w14:paraId="6DFB59C5" w14:textId="6874AB61" w:rsidR="00873AC7" w:rsidRDefault="00873AC7" w:rsidP="00F15113">
      <w:pPr>
        <w:pStyle w:val="NormalWeb"/>
      </w:pPr>
      <w:r w:rsidRPr="00873AC7">
        <w:rPr>
          <w:noProof/>
        </w:rPr>
        <w:drawing>
          <wp:inline distT="0" distB="0" distL="0" distR="0" wp14:anchorId="5EDF8A05" wp14:editId="4DC38558">
            <wp:extent cx="5731510" cy="2186188"/>
            <wp:effectExtent l="0" t="0" r="2540" b="5080"/>
            <wp:docPr id="590695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95380" name=""/>
                    <pic:cNvPicPr/>
                  </pic:nvPicPr>
                  <pic:blipFill>
                    <a:blip r:embed="rId8"/>
                    <a:stretch>
                      <a:fillRect/>
                    </a:stretch>
                  </pic:blipFill>
                  <pic:spPr>
                    <a:xfrm>
                      <a:off x="0" y="0"/>
                      <a:ext cx="5731510" cy="2186188"/>
                    </a:xfrm>
                    <a:prstGeom prst="rect">
                      <a:avLst/>
                    </a:prstGeom>
                  </pic:spPr>
                </pic:pic>
              </a:graphicData>
            </a:graphic>
          </wp:inline>
        </w:drawing>
      </w:r>
    </w:p>
    <w:p w14:paraId="56881E41" w14:textId="54E6D578" w:rsidR="004C6602" w:rsidRPr="004C6602" w:rsidRDefault="004C6602" w:rsidP="004C6602">
      <w:pPr>
        <w:pStyle w:val="NormalWeb"/>
        <w:jc w:val="right"/>
        <w:rPr>
          <w:i/>
          <w:iCs/>
        </w:rPr>
      </w:pPr>
      <w:r>
        <w:t xml:space="preserve">Source: </w:t>
      </w:r>
      <w:r w:rsidRPr="004C6602">
        <w:rPr>
          <w:i/>
          <w:iCs/>
        </w:rPr>
        <w:t>sensiblefinancial.com</w:t>
      </w:r>
    </w:p>
    <w:p w14:paraId="348D7EA7" w14:textId="13151047" w:rsidR="00873AC7" w:rsidRDefault="004C6602" w:rsidP="00F15113">
      <w:pPr>
        <w:pStyle w:val="NormalWeb"/>
      </w:pPr>
      <w:r>
        <w:rPr>
          <w:noProof/>
        </w:rPr>
        <w:drawing>
          <wp:inline distT="0" distB="0" distL="0" distR="0" wp14:anchorId="2A1E2ADE" wp14:editId="6469F2CE">
            <wp:extent cx="5731510" cy="3213735"/>
            <wp:effectExtent l="0" t="0" r="2540" b="5715"/>
            <wp:docPr id="797488128" name="Chart 1">
              <a:extLst xmlns:a="http://schemas.openxmlformats.org/drawingml/2006/main">
                <a:ext uri="{FF2B5EF4-FFF2-40B4-BE49-F238E27FC236}">
                  <a16:creationId xmlns:a16="http://schemas.microsoft.com/office/drawing/2014/main" id="{940A504F-5973-8A6C-5CAB-01FE8B5A13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6FD59A" w14:textId="1892E40F" w:rsidR="004C6602" w:rsidRPr="004C6602" w:rsidRDefault="004C6602" w:rsidP="004C6602">
      <w:pPr>
        <w:pStyle w:val="NormalWeb"/>
        <w:jc w:val="right"/>
        <w:rPr>
          <w:i/>
          <w:iCs/>
        </w:rPr>
      </w:pPr>
      <w:r>
        <w:t xml:space="preserve">Data sourced from </w:t>
      </w:r>
      <w:r w:rsidRPr="004C6602">
        <w:rPr>
          <w:i/>
          <w:iCs/>
        </w:rPr>
        <w:t>officialdata.org</w:t>
      </w:r>
    </w:p>
    <w:p w14:paraId="374C46F7" w14:textId="77777777" w:rsidR="004C6602" w:rsidRDefault="004C6602">
      <w:pPr>
        <w:rPr>
          <w:rFonts w:ascii="Times New Roman" w:eastAsia="Times New Roman" w:hAnsi="Times New Roman" w:cs="Times New Roman"/>
          <w:b/>
          <w:bCs/>
          <w:kern w:val="0"/>
          <w:sz w:val="24"/>
          <w:szCs w:val="24"/>
          <w:lang w:eastAsia="en-AU"/>
          <w14:ligatures w14:val="none"/>
        </w:rPr>
      </w:pPr>
      <w:r>
        <w:rPr>
          <w:b/>
          <w:bCs/>
        </w:rPr>
        <w:br w:type="page"/>
      </w:r>
    </w:p>
    <w:p w14:paraId="18354E40" w14:textId="38FF5AD4" w:rsidR="00873AC7" w:rsidRDefault="00873AC7" w:rsidP="00F15113">
      <w:pPr>
        <w:pStyle w:val="NormalWeb"/>
        <w:rPr>
          <w:b/>
          <w:bCs/>
        </w:rPr>
      </w:pPr>
      <w:r w:rsidRPr="00873AC7">
        <w:rPr>
          <w:b/>
          <w:bCs/>
        </w:rPr>
        <w:lastRenderedPageBreak/>
        <w:t xml:space="preserve">Appendix 2: Exhibit </w:t>
      </w:r>
      <w:proofErr w:type="gramStart"/>
      <w:r w:rsidRPr="00873AC7">
        <w:rPr>
          <w:b/>
          <w:bCs/>
        </w:rPr>
        <w:t>12</w:t>
      </w:r>
      <w:proofErr w:type="gramEnd"/>
      <w:r w:rsidRPr="00873AC7">
        <w:rPr>
          <w:b/>
          <w:bCs/>
        </w:rPr>
        <w:t>; The Cycle of Market Emotions</w:t>
      </w:r>
    </w:p>
    <w:p w14:paraId="7D414ACA" w14:textId="41D9D49C" w:rsidR="00873AC7" w:rsidRDefault="00873AC7" w:rsidP="00F15113">
      <w:pPr>
        <w:pStyle w:val="NormalWeb"/>
        <w:rPr>
          <w:b/>
          <w:bCs/>
        </w:rPr>
      </w:pPr>
      <w:r w:rsidRPr="00873AC7">
        <w:rPr>
          <w:b/>
          <w:bCs/>
          <w:noProof/>
        </w:rPr>
        <w:drawing>
          <wp:inline distT="0" distB="0" distL="0" distR="0" wp14:anchorId="5CBE349E" wp14:editId="51BCFFF0">
            <wp:extent cx="5731510" cy="3863975"/>
            <wp:effectExtent l="0" t="0" r="2540" b="3175"/>
            <wp:docPr id="57831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10263" name=""/>
                    <pic:cNvPicPr/>
                  </pic:nvPicPr>
                  <pic:blipFill>
                    <a:blip r:embed="rId10"/>
                    <a:stretch>
                      <a:fillRect/>
                    </a:stretch>
                  </pic:blipFill>
                  <pic:spPr>
                    <a:xfrm>
                      <a:off x="0" y="0"/>
                      <a:ext cx="5731510" cy="3863975"/>
                    </a:xfrm>
                    <a:prstGeom prst="rect">
                      <a:avLst/>
                    </a:prstGeom>
                  </pic:spPr>
                </pic:pic>
              </a:graphicData>
            </a:graphic>
          </wp:inline>
        </w:drawing>
      </w:r>
    </w:p>
    <w:p w14:paraId="25C550D9" w14:textId="54CD0FC5" w:rsidR="00873AC7" w:rsidRPr="00873AC7" w:rsidRDefault="00873AC7" w:rsidP="00F15113">
      <w:pPr>
        <w:pStyle w:val="NormalWeb"/>
        <w:rPr>
          <w:b/>
          <w:bCs/>
        </w:rPr>
      </w:pPr>
    </w:p>
    <w:sectPr w:rsidR="00873AC7" w:rsidRPr="00873AC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F43A6" w14:textId="77777777" w:rsidR="0021152D" w:rsidRDefault="0021152D" w:rsidP="00901AF4">
      <w:pPr>
        <w:spacing w:after="0" w:line="240" w:lineRule="auto"/>
      </w:pPr>
      <w:r>
        <w:separator/>
      </w:r>
    </w:p>
  </w:endnote>
  <w:endnote w:type="continuationSeparator" w:id="0">
    <w:p w14:paraId="70A62BEC" w14:textId="77777777" w:rsidR="0021152D" w:rsidRDefault="0021152D" w:rsidP="00901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428228"/>
      <w:docPartObj>
        <w:docPartGallery w:val="Page Numbers (Bottom of Page)"/>
        <w:docPartUnique/>
      </w:docPartObj>
    </w:sdtPr>
    <w:sdtEndPr>
      <w:rPr>
        <w:noProof/>
      </w:rPr>
    </w:sdtEndPr>
    <w:sdtContent>
      <w:p w14:paraId="59E771AF" w14:textId="0C3C320B" w:rsidR="00CD2433" w:rsidRDefault="00CD24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4D820" w14:textId="77777777" w:rsidR="00CD2433" w:rsidRDefault="00CD2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6FC75" w14:textId="77777777" w:rsidR="0021152D" w:rsidRDefault="0021152D" w:rsidP="00901AF4">
      <w:pPr>
        <w:spacing w:after="0" w:line="240" w:lineRule="auto"/>
      </w:pPr>
      <w:r>
        <w:separator/>
      </w:r>
    </w:p>
  </w:footnote>
  <w:footnote w:type="continuationSeparator" w:id="0">
    <w:p w14:paraId="37D0E040" w14:textId="77777777" w:rsidR="0021152D" w:rsidRDefault="0021152D" w:rsidP="00901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3411A" w14:textId="71EEFDDF" w:rsidR="00901AF4" w:rsidRDefault="00901AF4">
    <w:pPr>
      <w:pStyle w:val="Header"/>
    </w:pPr>
    <w:r>
      <w:ptab w:relativeTo="margin" w:alignment="center" w:leader="none"/>
    </w:r>
    <w:r w:rsidRPr="00901AF4">
      <w:rPr>
        <w:rFonts w:ascii="Times New Roman" w:hAnsi="Times New Roman" w:cs="Times New Roman"/>
        <w:sz w:val="24"/>
        <w:szCs w:val="24"/>
      </w:rPr>
      <w:t>Daniel Ciccotosto-Camp (S45857278)</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C2"/>
    <w:rsid w:val="00000D5B"/>
    <w:rsid w:val="00030862"/>
    <w:rsid w:val="000704A7"/>
    <w:rsid w:val="000C2F77"/>
    <w:rsid w:val="00134265"/>
    <w:rsid w:val="0021152D"/>
    <w:rsid w:val="0025306B"/>
    <w:rsid w:val="00285C06"/>
    <w:rsid w:val="00295A1A"/>
    <w:rsid w:val="002C1FA5"/>
    <w:rsid w:val="003411E0"/>
    <w:rsid w:val="0034130A"/>
    <w:rsid w:val="00367CC5"/>
    <w:rsid w:val="00392B76"/>
    <w:rsid w:val="003B04A3"/>
    <w:rsid w:val="003C2A97"/>
    <w:rsid w:val="003D5302"/>
    <w:rsid w:val="003F756F"/>
    <w:rsid w:val="00476816"/>
    <w:rsid w:val="004821C6"/>
    <w:rsid w:val="004C6602"/>
    <w:rsid w:val="004F02C2"/>
    <w:rsid w:val="005773F7"/>
    <w:rsid w:val="006631A3"/>
    <w:rsid w:val="006A4871"/>
    <w:rsid w:val="00717CCF"/>
    <w:rsid w:val="007F4D00"/>
    <w:rsid w:val="0083180F"/>
    <w:rsid w:val="00862025"/>
    <w:rsid w:val="00873AC7"/>
    <w:rsid w:val="0087678F"/>
    <w:rsid w:val="00896394"/>
    <w:rsid w:val="00901AF4"/>
    <w:rsid w:val="00955548"/>
    <w:rsid w:val="00985B8D"/>
    <w:rsid w:val="009B0519"/>
    <w:rsid w:val="009B6526"/>
    <w:rsid w:val="00A55166"/>
    <w:rsid w:val="00A6614C"/>
    <w:rsid w:val="00A870DE"/>
    <w:rsid w:val="00AC2CD5"/>
    <w:rsid w:val="00B05DF1"/>
    <w:rsid w:val="00B56F82"/>
    <w:rsid w:val="00C31DA5"/>
    <w:rsid w:val="00C54B95"/>
    <w:rsid w:val="00C74141"/>
    <w:rsid w:val="00C77851"/>
    <w:rsid w:val="00CA3C3A"/>
    <w:rsid w:val="00CC4A89"/>
    <w:rsid w:val="00CD2433"/>
    <w:rsid w:val="00D11790"/>
    <w:rsid w:val="00D57BBE"/>
    <w:rsid w:val="00DD3C7F"/>
    <w:rsid w:val="00DF04FE"/>
    <w:rsid w:val="00E15872"/>
    <w:rsid w:val="00E361C9"/>
    <w:rsid w:val="00EA5E3A"/>
    <w:rsid w:val="00F15113"/>
    <w:rsid w:val="00F24D28"/>
    <w:rsid w:val="00F5333D"/>
    <w:rsid w:val="00FD2D8D"/>
    <w:rsid w:val="00FF5B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03E4"/>
  <w15:chartTrackingRefBased/>
  <w15:docId w15:val="{7B043760-E866-42D3-95A2-69CA5EA0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2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2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5B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2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02C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F02C2"/>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4F02C2"/>
    <w:rPr>
      <w:b/>
      <w:bCs/>
    </w:rPr>
  </w:style>
  <w:style w:type="character" w:customStyle="1" w:styleId="Heading3Char">
    <w:name w:val="Heading 3 Char"/>
    <w:basedOn w:val="DefaultParagraphFont"/>
    <w:link w:val="Heading3"/>
    <w:uiPriority w:val="9"/>
    <w:semiHidden/>
    <w:rsid w:val="00FF5BB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FF5BBB"/>
    <w:rPr>
      <w:i/>
      <w:iCs/>
    </w:rPr>
  </w:style>
  <w:style w:type="character" w:customStyle="1" w:styleId="whitespace-nowrap">
    <w:name w:val="whitespace-nowrap"/>
    <w:basedOn w:val="DefaultParagraphFont"/>
    <w:rsid w:val="00FF5BBB"/>
  </w:style>
  <w:style w:type="character" w:customStyle="1" w:styleId="whitespace-normal">
    <w:name w:val="whitespace-normal"/>
    <w:basedOn w:val="DefaultParagraphFont"/>
    <w:rsid w:val="00FF5BBB"/>
  </w:style>
  <w:style w:type="character" w:customStyle="1" w:styleId="truncate">
    <w:name w:val="truncate"/>
    <w:basedOn w:val="DefaultParagraphFont"/>
    <w:rsid w:val="00FF5BBB"/>
  </w:style>
  <w:style w:type="paragraph" w:styleId="NoSpacing">
    <w:name w:val="No Spacing"/>
    <w:uiPriority w:val="1"/>
    <w:qFormat/>
    <w:rsid w:val="00FF5BBB"/>
    <w:pPr>
      <w:spacing w:after="0" w:line="240" w:lineRule="auto"/>
    </w:pPr>
  </w:style>
  <w:style w:type="character" w:styleId="CommentReference">
    <w:name w:val="annotation reference"/>
    <w:basedOn w:val="DefaultParagraphFont"/>
    <w:uiPriority w:val="99"/>
    <w:semiHidden/>
    <w:unhideWhenUsed/>
    <w:rsid w:val="00717CCF"/>
    <w:rPr>
      <w:sz w:val="16"/>
      <w:szCs w:val="16"/>
    </w:rPr>
  </w:style>
  <w:style w:type="paragraph" w:styleId="CommentText">
    <w:name w:val="annotation text"/>
    <w:basedOn w:val="Normal"/>
    <w:link w:val="CommentTextChar"/>
    <w:uiPriority w:val="99"/>
    <w:unhideWhenUsed/>
    <w:rsid w:val="00717CCF"/>
    <w:pPr>
      <w:spacing w:line="240" w:lineRule="auto"/>
    </w:pPr>
    <w:rPr>
      <w:sz w:val="20"/>
      <w:szCs w:val="20"/>
    </w:rPr>
  </w:style>
  <w:style w:type="character" w:customStyle="1" w:styleId="CommentTextChar">
    <w:name w:val="Comment Text Char"/>
    <w:basedOn w:val="DefaultParagraphFont"/>
    <w:link w:val="CommentText"/>
    <w:uiPriority w:val="99"/>
    <w:rsid w:val="00717CCF"/>
    <w:rPr>
      <w:sz w:val="20"/>
      <w:szCs w:val="20"/>
    </w:rPr>
  </w:style>
  <w:style w:type="paragraph" w:styleId="CommentSubject">
    <w:name w:val="annotation subject"/>
    <w:basedOn w:val="CommentText"/>
    <w:next w:val="CommentText"/>
    <w:link w:val="CommentSubjectChar"/>
    <w:uiPriority w:val="99"/>
    <w:semiHidden/>
    <w:unhideWhenUsed/>
    <w:rsid w:val="00717CCF"/>
    <w:rPr>
      <w:b/>
      <w:bCs/>
    </w:rPr>
  </w:style>
  <w:style w:type="character" w:customStyle="1" w:styleId="CommentSubjectChar">
    <w:name w:val="Comment Subject Char"/>
    <w:basedOn w:val="CommentTextChar"/>
    <w:link w:val="CommentSubject"/>
    <w:uiPriority w:val="99"/>
    <w:semiHidden/>
    <w:rsid w:val="00717CCF"/>
    <w:rPr>
      <w:b/>
      <w:bCs/>
      <w:sz w:val="20"/>
      <w:szCs w:val="20"/>
    </w:rPr>
  </w:style>
  <w:style w:type="paragraph" w:styleId="Header">
    <w:name w:val="header"/>
    <w:basedOn w:val="Normal"/>
    <w:link w:val="HeaderChar"/>
    <w:uiPriority w:val="99"/>
    <w:unhideWhenUsed/>
    <w:rsid w:val="00901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AF4"/>
  </w:style>
  <w:style w:type="paragraph" w:styleId="Footer">
    <w:name w:val="footer"/>
    <w:basedOn w:val="Normal"/>
    <w:link w:val="FooterChar"/>
    <w:uiPriority w:val="99"/>
    <w:unhideWhenUsed/>
    <w:rsid w:val="00901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AF4"/>
  </w:style>
  <w:style w:type="character" w:styleId="Hyperlink">
    <w:name w:val="Hyperlink"/>
    <w:basedOn w:val="DefaultParagraphFont"/>
    <w:uiPriority w:val="99"/>
    <w:unhideWhenUsed/>
    <w:rsid w:val="00000D5B"/>
    <w:rPr>
      <w:color w:val="0563C1" w:themeColor="hyperlink"/>
      <w:u w:val="single"/>
    </w:rPr>
  </w:style>
  <w:style w:type="character" w:styleId="UnresolvedMention">
    <w:name w:val="Unresolved Mention"/>
    <w:basedOn w:val="DefaultParagraphFont"/>
    <w:uiPriority w:val="99"/>
    <w:semiHidden/>
    <w:unhideWhenUsed/>
    <w:rsid w:val="00000D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4303">
      <w:bodyDiv w:val="1"/>
      <w:marLeft w:val="0"/>
      <w:marRight w:val="0"/>
      <w:marTop w:val="0"/>
      <w:marBottom w:val="0"/>
      <w:divBdr>
        <w:top w:val="none" w:sz="0" w:space="0" w:color="auto"/>
        <w:left w:val="none" w:sz="0" w:space="0" w:color="auto"/>
        <w:bottom w:val="none" w:sz="0" w:space="0" w:color="auto"/>
        <w:right w:val="none" w:sz="0" w:space="0" w:color="auto"/>
      </w:divBdr>
      <w:divsChild>
        <w:div w:id="294336606">
          <w:marLeft w:val="0"/>
          <w:marRight w:val="0"/>
          <w:marTop w:val="0"/>
          <w:marBottom w:val="0"/>
          <w:divBdr>
            <w:top w:val="none" w:sz="0" w:space="0" w:color="auto"/>
            <w:left w:val="none" w:sz="0" w:space="0" w:color="auto"/>
            <w:bottom w:val="none" w:sz="0" w:space="0" w:color="auto"/>
            <w:right w:val="none" w:sz="0" w:space="0" w:color="auto"/>
          </w:divBdr>
          <w:divsChild>
            <w:div w:id="920287481">
              <w:marLeft w:val="0"/>
              <w:marRight w:val="0"/>
              <w:marTop w:val="0"/>
              <w:marBottom w:val="0"/>
              <w:divBdr>
                <w:top w:val="none" w:sz="0" w:space="0" w:color="auto"/>
                <w:left w:val="none" w:sz="0" w:space="0" w:color="auto"/>
                <w:bottom w:val="none" w:sz="0" w:space="0" w:color="auto"/>
                <w:right w:val="none" w:sz="0" w:space="0" w:color="auto"/>
              </w:divBdr>
              <w:divsChild>
                <w:div w:id="371735234">
                  <w:marLeft w:val="0"/>
                  <w:marRight w:val="0"/>
                  <w:marTop w:val="0"/>
                  <w:marBottom w:val="0"/>
                  <w:divBdr>
                    <w:top w:val="none" w:sz="0" w:space="0" w:color="auto"/>
                    <w:left w:val="none" w:sz="0" w:space="0" w:color="auto"/>
                    <w:bottom w:val="none" w:sz="0" w:space="0" w:color="auto"/>
                    <w:right w:val="none" w:sz="0" w:space="0" w:color="auto"/>
                  </w:divBdr>
                  <w:divsChild>
                    <w:div w:id="1832983101">
                      <w:marLeft w:val="0"/>
                      <w:marRight w:val="0"/>
                      <w:marTop w:val="0"/>
                      <w:marBottom w:val="0"/>
                      <w:divBdr>
                        <w:top w:val="none" w:sz="0" w:space="0" w:color="auto"/>
                        <w:left w:val="none" w:sz="0" w:space="0" w:color="auto"/>
                        <w:bottom w:val="none" w:sz="0" w:space="0" w:color="auto"/>
                        <w:right w:val="none" w:sz="0" w:space="0" w:color="auto"/>
                      </w:divBdr>
                      <w:divsChild>
                        <w:div w:id="477723926">
                          <w:marLeft w:val="0"/>
                          <w:marRight w:val="0"/>
                          <w:marTop w:val="0"/>
                          <w:marBottom w:val="0"/>
                          <w:divBdr>
                            <w:top w:val="none" w:sz="0" w:space="0" w:color="auto"/>
                            <w:left w:val="none" w:sz="0" w:space="0" w:color="auto"/>
                            <w:bottom w:val="none" w:sz="0" w:space="0" w:color="auto"/>
                            <w:right w:val="none" w:sz="0" w:space="0" w:color="auto"/>
                          </w:divBdr>
                          <w:divsChild>
                            <w:div w:id="19263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058821">
      <w:bodyDiv w:val="1"/>
      <w:marLeft w:val="0"/>
      <w:marRight w:val="0"/>
      <w:marTop w:val="0"/>
      <w:marBottom w:val="0"/>
      <w:divBdr>
        <w:top w:val="none" w:sz="0" w:space="0" w:color="auto"/>
        <w:left w:val="none" w:sz="0" w:space="0" w:color="auto"/>
        <w:bottom w:val="none" w:sz="0" w:space="0" w:color="auto"/>
        <w:right w:val="none" w:sz="0" w:space="0" w:color="auto"/>
      </w:divBdr>
    </w:div>
    <w:div w:id="285547558">
      <w:bodyDiv w:val="1"/>
      <w:marLeft w:val="0"/>
      <w:marRight w:val="0"/>
      <w:marTop w:val="0"/>
      <w:marBottom w:val="0"/>
      <w:divBdr>
        <w:top w:val="none" w:sz="0" w:space="0" w:color="auto"/>
        <w:left w:val="none" w:sz="0" w:space="0" w:color="auto"/>
        <w:bottom w:val="none" w:sz="0" w:space="0" w:color="auto"/>
        <w:right w:val="none" w:sz="0" w:space="0" w:color="auto"/>
      </w:divBdr>
      <w:divsChild>
        <w:div w:id="1810895620">
          <w:marLeft w:val="0"/>
          <w:marRight w:val="0"/>
          <w:marTop w:val="0"/>
          <w:marBottom w:val="0"/>
          <w:divBdr>
            <w:top w:val="none" w:sz="0" w:space="0" w:color="auto"/>
            <w:left w:val="none" w:sz="0" w:space="0" w:color="auto"/>
            <w:bottom w:val="none" w:sz="0" w:space="0" w:color="auto"/>
            <w:right w:val="none" w:sz="0" w:space="0" w:color="auto"/>
          </w:divBdr>
          <w:divsChild>
            <w:div w:id="2026856848">
              <w:marLeft w:val="0"/>
              <w:marRight w:val="0"/>
              <w:marTop w:val="0"/>
              <w:marBottom w:val="0"/>
              <w:divBdr>
                <w:top w:val="none" w:sz="0" w:space="0" w:color="auto"/>
                <w:left w:val="none" w:sz="0" w:space="0" w:color="auto"/>
                <w:bottom w:val="none" w:sz="0" w:space="0" w:color="auto"/>
                <w:right w:val="none" w:sz="0" w:space="0" w:color="auto"/>
              </w:divBdr>
              <w:divsChild>
                <w:div w:id="1937322377">
                  <w:marLeft w:val="0"/>
                  <w:marRight w:val="0"/>
                  <w:marTop w:val="0"/>
                  <w:marBottom w:val="0"/>
                  <w:divBdr>
                    <w:top w:val="none" w:sz="0" w:space="0" w:color="auto"/>
                    <w:left w:val="none" w:sz="0" w:space="0" w:color="auto"/>
                    <w:bottom w:val="none" w:sz="0" w:space="0" w:color="auto"/>
                    <w:right w:val="none" w:sz="0" w:space="0" w:color="auto"/>
                  </w:divBdr>
                  <w:divsChild>
                    <w:div w:id="1443473">
                      <w:marLeft w:val="0"/>
                      <w:marRight w:val="0"/>
                      <w:marTop w:val="0"/>
                      <w:marBottom w:val="0"/>
                      <w:divBdr>
                        <w:top w:val="none" w:sz="0" w:space="0" w:color="auto"/>
                        <w:left w:val="none" w:sz="0" w:space="0" w:color="auto"/>
                        <w:bottom w:val="none" w:sz="0" w:space="0" w:color="auto"/>
                        <w:right w:val="none" w:sz="0" w:space="0" w:color="auto"/>
                      </w:divBdr>
                      <w:divsChild>
                        <w:div w:id="2020501434">
                          <w:marLeft w:val="0"/>
                          <w:marRight w:val="0"/>
                          <w:marTop w:val="0"/>
                          <w:marBottom w:val="0"/>
                          <w:divBdr>
                            <w:top w:val="none" w:sz="0" w:space="0" w:color="auto"/>
                            <w:left w:val="none" w:sz="0" w:space="0" w:color="auto"/>
                            <w:bottom w:val="none" w:sz="0" w:space="0" w:color="auto"/>
                            <w:right w:val="none" w:sz="0" w:space="0" w:color="auto"/>
                          </w:divBdr>
                          <w:divsChild>
                            <w:div w:id="7382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595083">
      <w:bodyDiv w:val="1"/>
      <w:marLeft w:val="0"/>
      <w:marRight w:val="0"/>
      <w:marTop w:val="0"/>
      <w:marBottom w:val="0"/>
      <w:divBdr>
        <w:top w:val="none" w:sz="0" w:space="0" w:color="auto"/>
        <w:left w:val="none" w:sz="0" w:space="0" w:color="auto"/>
        <w:bottom w:val="none" w:sz="0" w:space="0" w:color="auto"/>
        <w:right w:val="none" w:sz="0" w:space="0" w:color="auto"/>
      </w:divBdr>
    </w:div>
    <w:div w:id="643464657">
      <w:bodyDiv w:val="1"/>
      <w:marLeft w:val="0"/>
      <w:marRight w:val="0"/>
      <w:marTop w:val="0"/>
      <w:marBottom w:val="0"/>
      <w:divBdr>
        <w:top w:val="none" w:sz="0" w:space="0" w:color="auto"/>
        <w:left w:val="none" w:sz="0" w:space="0" w:color="auto"/>
        <w:bottom w:val="none" w:sz="0" w:space="0" w:color="auto"/>
        <w:right w:val="none" w:sz="0" w:space="0" w:color="auto"/>
      </w:divBdr>
    </w:div>
    <w:div w:id="738479177">
      <w:bodyDiv w:val="1"/>
      <w:marLeft w:val="0"/>
      <w:marRight w:val="0"/>
      <w:marTop w:val="0"/>
      <w:marBottom w:val="0"/>
      <w:divBdr>
        <w:top w:val="none" w:sz="0" w:space="0" w:color="auto"/>
        <w:left w:val="none" w:sz="0" w:space="0" w:color="auto"/>
        <w:bottom w:val="none" w:sz="0" w:space="0" w:color="auto"/>
        <w:right w:val="none" w:sz="0" w:space="0" w:color="auto"/>
      </w:divBdr>
    </w:div>
    <w:div w:id="752363557">
      <w:bodyDiv w:val="1"/>
      <w:marLeft w:val="0"/>
      <w:marRight w:val="0"/>
      <w:marTop w:val="0"/>
      <w:marBottom w:val="0"/>
      <w:divBdr>
        <w:top w:val="none" w:sz="0" w:space="0" w:color="auto"/>
        <w:left w:val="none" w:sz="0" w:space="0" w:color="auto"/>
        <w:bottom w:val="none" w:sz="0" w:space="0" w:color="auto"/>
        <w:right w:val="none" w:sz="0" w:space="0" w:color="auto"/>
      </w:divBdr>
      <w:divsChild>
        <w:div w:id="592738744">
          <w:marLeft w:val="0"/>
          <w:marRight w:val="0"/>
          <w:marTop w:val="0"/>
          <w:marBottom w:val="0"/>
          <w:divBdr>
            <w:top w:val="none" w:sz="0" w:space="0" w:color="auto"/>
            <w:left w:val="none" w:sz="0" w:space="0" w:color="auto"/>
            <w:bottom w:val="none" w:sz="0" w:space="0" w:color="auto"/>
            <w:right w:val="none" w:sz="0" w:space="0" w:color="auto"/>
          </w:divBdr>
          <w:divsChild>
            <w:div w:id="375393075">
              <w:marLeft w:val="0"/>
              <w:marRight w:val="0"/>
              <w:marTop w:val="0"/>
              <w:marBottom w:val="0"/>
              <w:divBdr>
                <w:top w:val="none" w:sz="0" w:space="0" w:color="auto"/>
                <w:left w:val="none" w:sz="0" w:space="0" w:color="auto"/>
                <w:bottom w:val="none" w:sz="0" w:space="0" w:color="auto"/>
                <w:right w:val="none" w:sz="0" w:space="0" w:color="auto"/>
              </w:divBdr>
              <w:divsChild>
                <w:div w:id="731393244">
                  <w:marLeft w:val="0"/>
                  <w:marRight w:val="0"/>
                  <w:marTop w:val="0"/>
                  <w:marBottom w:val="0"/>
                  <w:divBdr>
                    <w:top w:val="none" w:sz="0" w:space="0" w:color="auto"/>
                    <w:left w:val="none" w:sz="0" w:space="0" w:color="auto"/>
                    <w:bottom w:val="none" w:sz="0" w:space="0" w:color="auto"/>
                    <w:right w:val="none" w:sz="0" w:space="0" w:color="auto"/>
                  </w:divBdr>
                  <w:divsChild>
                    <w:div w:id="1442995878">
                      <w:marLeft w:val="0"/>
                      <w:marRight w:val="0"/>
                      <w:marTop w:val="0"/>
                      <w:marBottom w:val="0"/>
                      <w:divBdr>
                        <w:top w:val="none" w:sz="0" w:space="0" w:color="auto"/>
                        <w:left w:val="none" w:sz="0" w:space="0" w:color="auto"/>
                        <w:bottom w:val="none" w:sz="0" w:space="0" w:color="auto"/>
                        <w:right w:val="none" w:sz="0" w:space="0" w:color="auto"/>
                      </w:divBdr>
                      <w:divsChild>
                        <w:div w:id="109982546">
                          <w:marLeft w:val="0"/>
                          <w:marRight w:val="0"/>
                          <w:marTop w:val="0"/>
                          <w:marBottom w:val="0"/>
                          <w:divBdr>
                            <w:top w:val="none" w:sz="0" w:space="0" w:color="auto"/>
                            <w:left w:val="none" w:sz="0" w:space="0" w:color="auto"/>
                            <w:bottom w:val="none" w:sz="0" w:space="0" w:color="auto"/>
                            <w:right w:val="none" w:sz="0" w:space="0" w:color="auto"/>
                          </w:divBdr>
                          <w:divsChild>
                            <w:div w:id="4143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809256">
      <w:bodyDiv w:val="1"/>
      <w:marLeft w:val="0"/>
      <w:marRight w:val="0"/>
      <w:marTop w:val="0"/>
      <w:marBottom w:val="0"/>
      <w:divBdr>
        <w:top w:val="none" w:sz="0" w:space="0" w:color="auto"/>
        <w:left w:val="none" w:sz="0" w:space="0" w:color="auto"/>
        <w:bottom w:val="none" w:sz="0" w:space="0" w:color="auto"/>
        <w:right w:val="none" w:sz="0" w:space="0" w:color="auto"/>
      </w:divBdr>
      <w:divsChild>
        <w:div w:id="1597402004">
          <w:marLeft w:val="0"/>
          <w:marRight w:val="0"/>
          <w:marTop w:val="0"/>
          <w:marBottom w:val="0"/>
          <w:divBdr>
            <w:top w:val="none" w:sz="0" w:space="0" w:color="auto"/>
            <w:left w:val="none" w:sz="0" w:space="0" w:color="auto"/>
            <w:bottom w:val="none" w:sz="0" w:space="0" w:color="auto"/>
            <w:right w:val="none" w:sz="0" w:space="0" w:color="auto"/>
          </w:divBdr>
          <w:divsChild>
            <w:div w:id="1475636738">
              <w:marLeft w:val="0"/>
              <w:marRight w:val="0"/>
              <w:marTop w:val="0"/>
              <w:marBottom w:val="0"/>
              <w:divBdr>
                <w:top w:val="none" w:sz="0" w:space="0" w:color="auto"/>
                <w:left w:val="none" w:sz="0" w:space="0" w:color="auto"/>
                <w:bottom w:val="none" w:sz="0" w:space="0" w:color="auto"/>
                <w:right w:val="none" w:sz="0" w:space="0" w:color="auto"/>
              </w:divBdr>
              <w:divsChild>
                <w:div w:id="19282053">
                  <w:marLeft w:val="0"/>
                  <w:marRight w:val="0"/>
                  <w:marTop w:val="0"/>
                  <w:marBottom w:val="0"/>
                  <w:divBdr>
                    <w:top w:val="none" w:sz="0" w:space="0" w:color="auto"/>
                    <w:left w:val="none" w:sz="0" w:space="0" w:color="auto"/>
                    <w:bottom w:val="none" w:sz="0" w:space="0" w:color="auto"/>
                    <w:right w:val="none" w:sz="0" w:space="0" w:color="auto"/>
                  </w:divBdr>
                  <w:divsChild>
                    <w:div w:id="1983658635">
                      <w:marLeft w:val="0"/>
                      <w:marRight w:val="0"/>
                      <w:marTop w:val="0"/>
                      <w:marBottom w:val="0"/>
                      <w:divBdr>
                        <w:top w:val="none" w:sz="0" w:space="0" w:color="auto"/>
                        <w:left w:val="none" w:sz="0" w:space="0" w:color="auto"/>
                        <w:bottom w:val="none" w:sz="0" w:space="0" w:color="auto"/>
                        <w:right w:val="none" w:sz="0" w:space="0" w:color="auto"/>
                      </w:divBdr>
                      <w:divsChild>
                        <w:div w:id="572742222">
                          <w:marLeft w:val="0"/>
                          <w:marRight w:val="0"/>
                          <w:marTop w:val="0"/>
                          <w:marBottom w:val="0"/>
                          <w:divBdr>
                            <w:top w:val="none" w:sz="0" w:space="0" w:color="auto"/>
                            <w:left w:val="none" w:sz="0" w:space="0" w:color="auto"/>
                            <w:bottom w:val="none" w:sz="0" w:space="0" w:color="auto"/>
                            <w:right w:val="none" w:sz="0" w:space="0" w:color="auto"/>
                          </w:divBdr>
                          <w:divsChild>
                            <w:div w:id="16195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985830">
      <w:bodyDiv w:val="1"/>
      <w:marLeft w:val="0"/>
      <w:marRight w:val="0"/>
      <w:marTop w:val="0"/>
      <w:marBottom w:val="0"/>
      <w:divBdr>
        <w:top w:val="none" w:sz="0" w:space="0" w:color="auto"/>
        <w:left w:val="none" w:sz="0" w:space="0" w:color="auto"/>
        <w:bottom w:val="none" w:sz="0" w:space="0" w:color="auto"/>
        <w:right w:val="none" w:sz="0" w:space="0" w:color="auto"/>
      </w:divBdr>
      <w:divsChild>
        <w:div w:id="1259944654">
          <w:marLeft w:val="0"/>
          <w:marRight w:val="0"/>
          <w:marTop w:val="0"/>
          <w:marBottom w:val="0"/>
          <w:divBdr>
            <w:top w:val="none" w:sz="0" w:space="0" w:color="auto"/>
            <w:left w:val="none" w:sz="0" w:space="0" w:color="auto"/>
            <w:bottom w:val="none" w:sz="0" w:space="0" w:color="auto"/>
            <w:right w:val="none" w:sz="0" w:space="0" w:color="auto"/>
          </w:divBdr>
        </w:div>
        <w:div w:id="468326966">
          <w:marLeft w:val="0"/>
          <w:marRight w:val="0"/>
          <w:marTop w:val="0"/>
          <w:marBottom w:val="0"/>
          <w:divBdr>
            <w:top w:val="none" w:sz="0" w:space="0" w:color="auto"/>
            <w:left w:val="none" w:sz="0" w:space="0" w:color="auto"/>
            <w:bottom w:val="none" w:sz="0" w:space="0" w:color="auto"/>
            <w:right w:val="none" w:sz="0" w:space="0" w:color="auto"/>
          </w:divBdr>
        </w:div>
        <w:div w:id="665086362">
          <w:marLeft w:val="0"/>
          <w:marRight w:val="0"/>
          <w:marTop w:val="0"/>
          <w:marBottom w:val="0"/>
          <w:divBdr>
            <w:top w:val="none" w:sz="0" w:space="0" w:color="auto"/>
            <w:left w:val="none" w:sz="0" w:space="0" w:color="auto"/>
            <w:bottom w:val="none" w:sz="0" w:space="0" w:color="auto"/>
            <w:right w:val="none" w:sz="0" w:space="0" w:color="auto"/>
          </w:divBdr>
        </w:div>
        <w:div w:id="1915505035">
          <w:marLeft w:val="0"/>
          <w:marRight w:val="0"/>
          <w:marTop w:val="0"/>
          <w:marBottom w:val="0"/>
          <w:divBdr>
            <w:top w:val="none" w:sz="0" w:space="0" w:color="auto"/>
            <w:left w:val="none" w:sz="0" w:space="0" w:color="auto"/>
            <w:bottom w:val="none" w:sz="0" w:space="0" w:color="auto"/>
            <w:right w:val="none" w:sz="0" w:space="0" w:color="auto"/>
          </w:divBdr>
        </w:div>
        <w:div w:id="79177589">
          <w:marLeft w:val="0"/>
          <w:marRight w:val="0"/>
          <w:marTop w:val="0"/>
          <w:marBottom w:val="0"/>
          <w:divBdr>
            <w:top w:val="none" w:sz="0" w:space="0" w:color="auto"/>
            <w:left w:val="none" w:sz="0" w:space="0" w:color="auto"/>
            <w:bottom w:val="none" w:sz="0" w:space="0" w:color="auto"/>
            <w:right w:val="none" w:sz="0" w:space="0" w:color="auto"/>
          </w:divBdr>
        </w:div>
      </w:divsChild>
    </w:div>
    <w:div w:id="1052464043">
      <w:bodyDiv w:val="1"/>
      <w:marLeft w:val="0"/>
      <w:marRight w:val="0"/>
      <w:marTop w:val="0"/>
      <w:marBottom w:val="0"/>
      <w:divBdr>
        <w:top w:val="none" w:sz="0" w:space="0" w:color="auto"/>
        <w:left w:val="none" w:sz="0" w:space="0" w:color="auto"/>
        <w:bottom w:val="none" w:sz="0" w:space="0" w:color="auto"/>
        <w:right w:val="none" w:sz="0" w:space="0" w:color="auto"/>
      </w:divBdr>
    </w:div>
    <w:div w:id="1068963696">
      <w:bodyDiv w:val="1"/>
      <w:marLeft w:val="0"/>
      <w:marRight w:val="0"/>
      <w:marTop w:val="0"/>
      <w:marBottom w:val="0"/>
      <w:divBdr>
        <w:top w:val="none" w:sz="0" w:space="0" w:color="auto"/>
        <w:left w:val="none" w:sz="0" w:space="0" w:color="auto"/>
        <w:bottom w:val="none" w:sz="0" w:space="0" w:color="auto"/>
        <w:right w:val="none" w:sz="0" w:space="0" w:color="auto"/>
      </w:divBdr>
      <w:divsChild>
        <w:div w:id="49154050">
          <w:marLeft w:val="0"/>
          <w:marRight w:val="0"/>
          <w:marTop w:val="0"/>
          <w:marBottom w:val="0"/>
          <w:divBdr>
            <w:top w:val="none" w:sz="0" w:space="0" w:color="auto"/>
            <w:left w:val="none" w:sz="0" w:space="0" w:color="auto"/>
            <w:bottom w:val="none" w:sz="0" w:space="0" w:color="auto"/>
            <w:right w:val="none" w:sz="0" w:space="0" w:color="auto"/>
          </w:divBdr>
          <w:divsChild>
            <w:div w:id="1256016861">
              <w:marLeft w:val="0"/>
              <w:marRight w:val="0"/>
              <w:marTop w:val="0"/>
              <w:marBottom w:val="0"/>
              <w:divBdr>
                <w:top w:val="none" w:sz="0" w:space="0" w:color="auto"/>
                <w:left w:val="none" w:sz="0" w:space="0" w:color="auto"/>
                <w:bottom w:val="none" w:sz="0" w:space="0" w:color="auto"/>
                <w:right w:val="none" w:sz="0" w:space="0" w:color="auto"/>
              </w:divBdr>
              <w:divsChild>
                <w:div w:id="384329961">
                  <w:marLeft w:val="0"/>
                  <w:marRight w:val="0"/>
                  <w:marTop w:val="0"/>
                  <w:marBottom w:val="0"/>
                  <w:divBdr>
                    <w:top w:val="none" w:sz="0" w:space="0" w:color="auto"/>
                    <w:left w:val="none" w:sz="0" w:space="0" w:color="auto"/>
                    <w:bottom w:val="none" w:sz="0" w:space="0" w:color="auto"/>
                    <w:right w:val="none" w:sz="0" w:space="0" w:color="auto"/>
                  </w:divBdr>
                  <w:divsChild>
                    <w:div w:id="98184279">
                      <w:marLeft w:val="0"/>
                      <w:marRight w:val="0"/>
                      <w:marTop w:val="0"/>
                      <w:marBottom w:val="0"/>
                      <w:divBdr>
                        <w:top w:val="none" w:sz="0" w:space="0" w:color="auto"/>
                        <w:left w:val="none" w:sz="0" w:space="0" w:color="auto"/>
                        <w:bottom w:val="none" w:sz="0" w:space="0" w:color="auto"/>
                        <w:right w:val="none" w:sz="0" w:space="0" w:color="auto"/>
                      </w:divBdr>
                      <w:divsChild>
                        <w:div w:id="1096288573">
                          <w:marLeft w:val="0"/>
                          <w:marRight w:val="0"/>
                          <w:marTop w:val="0"/>
                          <w:marBottom w:val="0"/>
                          <w:divBdr>
                            <w:top w:val="none" w:sz="0" w:space="0" w:color="auto"/>
                            <w:left w:val="none" w:sz="0" w:space="0" w:color="auto"/>
                            <w:bottom w:val="none" w:sz="0" w:space="0" w:color="auto"/>
                            <w:right w:val="none" w:sz="0" w:space="0" w:color="auto"/>
                          </w:divBdr>
                          <w:divsChild>
                            <w:div w:id="53053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703456">
      <w:bodyDiv w:val="1"/>
      <w:marLeft w:val="0"/>
      <w:marRight w:val="0"/>
      <w:marTop w:val="0"/>
      <w:marBottom w:val="0"/>
      <w:divBdr>
        <w:top w:val="none" w:sz="0" w:space="0" w:color="auto"/>
        <w:left w:val="none" w:sz="0" w:space="0" w:color="auto"/>
        <w:bottom w:val="none" w:sz="0" w:space="0" w:color="auto"/>
        <w:right w:val="none" w:sz="0" w:space="0" w:color="auto"/>
      </w:divBdr>
      <w:divsChild>
        <w:div w:id="360667194">
          <w:marLeft w:val="0"/>
          <w:marRight w:val="0"/>
          <w:marTop w:val="0"/>
          <w:marBottom w:val="0"/>
          <w:divBdr>
            <w:top w:val="none" w:sz="0" w:space="0" w:color="auto"/>
            <w:left w:val="none" w:sz="0" w:space="0" w:color="auto"/>
            <w:bottom w:val="none" w:sz="0" w:space="0" w:color="auto"/>
            <w:right w:val="none" w:sz="0" w:space="0" w:color="auto"/>
          </w:divBdr>
          <w:divsChild>
            <w:div w:id="116072904">
              <w:marLeft w:val="0"/>
              <w:marRight w:val="0"/>
              <w:marTop w:val="0"/>
              <w:marBottom w:val="0"/>
              <w:divBdr>
                <w:top w:val="none" w:sz="0" w:space="0" w:color="auto"/>
                <w:left w:val="none" w:sz="0" w:space="0" w:color="auto"/>
                <w:bottom w:val="none" w:sz="0" w:space="0" w:color="auto"/>
                <w:right w:val="none" w:sz="0" w:space="0" w:color="auto"/>
              </w:divBdr>
              <w:divsChild>
                <w:div w:id="438182995">
                  <w:marLeft w:val="0"/>
                  <w:marRight w:val="0"/>
                  <w:marTop w:val="0"/>
                  <w:marBottom w:val="0"/>
                  <w:divBdr>
                    <w:top w:val="none" w:sz="0" w:space="0" w:color="auto"/>
                    <w:left w:val="none" w:sz="0" w:space="0" w:color="auto"/>
                    <w:bottom w:val="none" w:sz="0" w:space="0" w:color="auto"/>
                    <w:right w:val="none" w:sz="0" w:space="0" w:color="auto"/>
                  </w:divBdr>
                  <w:divsChild>
                    <w:div w:id="374356663">
                      <w:marLeft w:val="0"/>
                      <w:marRight w:val="0"/>
                      <w:marTop w:val="0"/>
                      <w:marBottom w:val="0"/>
                      <w:divBdr>
                        <w:top w:val="none" w:sz="0" w:space="0" w:color="auto"/>
                        <w:left w:val="none" w:sz="0" w:space="0" w:color="auto"/>
                        <w:bottom w:val="none" w:sz="0" w:space="0" w:color="auto"/>
                        <w:right w:val="none" w:sz="0" w:space="0" w:color="auto"/>
                      </w:divBdr>
                      <w:divsChild>
                        <w:div w:id="956369050">
                          <w:marLeft w:val="0"/>
                          <w:marRight w:val="0"/>
                          <w:marTop w:val="0"/>
                          <w:marBottom w:val="0"/>
                          <w:divBdr>
                            <w:top w:val="none" w:sz="0" w:space="0" w:color="auto"/>
                            <w:left w:val="none" w:sz="0" w:space="0" w:color="auto"/>
                            <w:bottom w:val="none" w:sz="0" w:space="0" w:color="auto"/>
                            <w:right w:val="none" w:sz="0" w:space="0" w:color="auto"/>
                          </w:divBdr>
                          <w:divsChild>
                            <w:div w:id="4359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03">
      <w:bodyDiv w:val="1"/>
      <w:marLeft w:val="0"/>
      <w:marRight w:val="0"/>
      <w:marTop w:val="0"/>
      <w:marBottom w:val="0"/>
      <w:divBdr>
        <w:top w:val="none" w:sz="0" w:space="0" w:color="auto"/>
        <w:left w:val="none" w:sz="0" w:space="0" w:color="auto"/>
        <w:bottom w:val="none" w:sz="0" w:space="0" w:color="auto"/>
        <w:right w:val="none" w:sz="0" w:space="0" w:color="auto"/>
      </w:divBdr>
      <w:divsChild>
        <w:div w:id="1588265225">
          <w:marLeft w:val="0"/>
          <w:marRight w:val="0"/>
          <w:marTop w:val="0"/>
          <w:marBottom w:val="0"/>
          <w:divBdr>
            <w:top w:val="none" w:sz="0" w:space="0" w:color="auto"/>
            <w:left w:val="none" w:sz="0" w:space="0" w:color="auto"/>
            <w:bottom w:val="none" w:sz="0" w:space="0" w:color="auto"/>
            <w:right w:val="none" w:sz="0" w:space="0" w:color="auto"/>
          </w:divBdr>
          <w:divsChild>
            <w:div w:id="118569830">
              <w:marLeft w:val="0"/>
              <w:marRight w:val="0"/>
              <w:marTop w:val="0"/>
              <w:marBottom w:val="0"/>
              <w:divBdr>
                <w:top w:val="none" w:sz="0" w:space="0" w:color="auto"/>
                <w:left w:val="none" w:sz="0" w:space="0" w:color="auto"/>
                <w:bottom w:val="none" w:sz="0" w:space="0" w:color="auto"/>
                <w:right w:val="none" w:sz="0" w:space="0" w:color="auto"/>
              </w:divBdr>
              <w:divsChild>
                <w:div w:id="1048921153">
                  <w:marLeft w:val="0"/>
                  <w:marRight w:val="0"/>
                  <w:marTop w:val="0"/>
                  <w:marBottom w:val="0"/>
                  <w:divBdr>
                    <w:top w:val="none" w:sz="0" w:space="0" w:color="auto"/>
                    <w:left w:val="none" w:sz="0" w:space="0" w:color="auto"/>
                    <w:bottom w:val="none" w:sz="0" w:space="0" w:color="auto"/>
                    <w:right w:val="none" w:sz="0" w:space="0" w:color="auto"/>
                  </w:divBdr>
                  <w:divsChild>
                    <w:div w:id="1974678026">
                      <w:marLeft w:val="0"/>
                      <w:marRight w:val="0"/>
                      <w:marTop w:val="0"/>
                      <w:marBottom w:val="0"/>
                      <w:divBdr>
                        <w:top w:val="none" w:sz="0" w:space="0" w:color="auto"/>
                        <w:left w:val="none" w:sz="0" w:space="0" w:color="auto"/>
                        <w:bottom w:val="none" w:sz="0" w:space="0" w:color="auto"/>
                        <w:right w:val="none" w:sz="0" w:space="0" w:color="auto"/>
                      </w:divBdr>
                      <w:divsChild>
                        <w:div w:id="890269874">
                          <w:marLeft w:val="0"/>
                          <w:marRight w:val="0"/>
                          <w:marTop w:val="0"/>
                          <w:marBottom w:val="0"/>
                          <w:divBdr>
                            <w:top w:val="none" w:sz="0" w:space="0" w:color="auto"/>
                            <w:left w:val="none" w:sz="0" w:space="0" w:color="auto"/>
                            <w:bottom w:val="none" w:sz="0" w:space="0" w:color="auto"/>
                            <w:right w:val="none" w:sz="0" w:space="0" w:color="auto"/>
                          </w:divBdr>
                          <w:divsChild>
                            <w:div w:id="12537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091819">
      <w:bodyDiv w:val="1"/>
      <w:marLeft w:val="0"/>
      <w:marRight w:val="0"/>
      <w:marTop w:val="0"/>
      <w:marBottom w:val="0"/>
      <w:divBdr>
        <w:top w:val="none" w:sz="0" w:space="0" w:color="auto"/>
        <w:left w:val="none" w:sz="0" w:space="0" w:color="auto"/>
        <w:bottom w:val="none" w:sz="0" w:space="0" w:color="auto"/>
        <w:right w:val="none" w:sz="0" w:space="0" w:color="auto"/>
      </w:divBdr>
    </w:div>
    <w:div w:id="212580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2307/1914185"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S&amp;P 500 Index, 1932 to 1962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Amount ($)</c:v>
                </c:pt>
              </c:strCache>
            </c:strRef>
          </c:tx>
          <c:spPr>
            <a:ln w="28575" cap="rnd">
              <a:solidFill>
                <a:schemeClr val="accent3"/>
              </a:solidFill>
              <a:round/>
            </a:ln>
            <a:effectLst/>
          </c:spPr>
          <c:marker>
            <c:symbol val="none"/>
          </c:marker>
          <c:cat>
            <c:numRef>
              <c:f>Sheet1!$A$2:$A$373</c:f>
              <c:numCache>
                <c:formatCode>General</c:formatCode>
                <c:ptCount val="372"/>
                <c:pt idx="0">
                  <c:v>1932</c:v>
                </c:pt>
                <c:pt idx="1">
                  <c:v>1932</c:v>
                </c:pt>
                <c:pt idx="2">
                  <c:v>1932</c:v>
                </c:pt>
                <c:pt idx="3">
                  <c:v>1932</c:v>
                </c:pt>
                <c:pt idx="4">
                  <c:v>1932</c:v>
                </c:pt>
                <c:pt idx="5">
                  <c:v>1932</c:v>
                </c:pt>
                <c:pt idx="6">
                  <c:v>1932</c:v>
                </c:pt>
                <c:pt idx="7">
                  <c:v>1932</c:v>
                </c:pt>
                <c:pt idx="8">
                  <c:v>1932</c:v>
                </c:pt>
                <c:pt idx="9">
                  <c:v>1932</c:v>
                </c:pt>
                <c:pt idx="10">
                  <c:v>1932</c:v>
                </c:pt>
                <c:pt idx="11">
                  <c:v>1932</c:v>
                </c:pt>
                <c:pt idx="12">
                  <c:v>1933</c:v>
                </c:pt>
                <c:pt idx="13">
                  <c:v>1933</c:v>
                </c:pt>
                <c:pt idx="14">
                  <c:v>1933</c:v>
                </c:pt>
                <c:pt idx="15">
                  <c:v>1933</c:v>
                </c:pt>
                <c:pt idx="16">
                  <c:v>1933</c:v>
                </c:pt>
                <c:pt idx="17">
                  <c:v>1933</c:v>
                </c:pt>
                <c:pt idx="18">
                  <c:v>1933</c:v>
                </c:pt>
                <c:pt idx="19">
                  <c:v>1933</c:v>
                </c:pt>
                <c:pt idx="20">
                  <c:v>1933</c:v>
                </c:pt>
                <c:pt idx="21">
                  <c:v>1933</c:v>
                </c:pt>
                <c:pt idx="22">
                  <c:v>1933</c:v>
                </c:pt>
                <c:pt idx="23">
                  <c:v>1933</c:v>
                </c:pt>
                <c:pt idx="24">
                  <c:v>1934</c:v>
                </c:pt>
                <c:pt idx="25">
                  <c:v>1934</c:v>
                </c:pt>
                <c:pt idx="26">
                  <c:v>1934</c:v>
                </c:pt>
                <c:pt idx="27">
                  <c:v>1934</c:v>
                </c:pt>
                <c:pt idx="28">
                  <c:v>1934</c:v>
                </c:pt>
                <c:pt idx="29">
                  <c:v>1934</c:v>
                </c:pt>
                <c:pt idx="30">
                  <c:v>1934</c:v>
                </c:pt>
                <c:pt idx="31">
                  <c:v>1934</c:v>
                </c:pt>
                <c:pt idx="32">
                  <c:v>1934</c:v>
                </c:pt>
                <c:pt idx="33">
                  <c:v>1934</c:v>
                </c:pt>
                <c:pt idx="34">
                  <c:v>1934</c:v>
                </c:pt>
                <c:pt idx="35">
                  <c:v>1934</c:v>
                </c:pt>
                <c:pt idx="36">
                  <c:v>1935</c:v>
                </c:pt>
                <c:pt idx="37">
                  <c:v>1935</c:v>
                </c:pt>
                <c:pt idx="38">
                  <c:v>1935</c:v>
                </c:pt>
                <c:pt idx="39">
                  <c:v>1935</c:v>
                </c:pt>
                <c:pt idx="40">
                  <c:v>1935</c:v>
                </c:pt>
                <c:pt idx="41">
                  <c:v>1935</c:v>
                </c:pt>
                <c:pt idx="42">
                  <c:v>1935</c:v>
                </c:pt>
                <c:pt idx="43">
                  <c:v>1935</c:v>
                </c:pt>
                <c:pt idx="44">
                  <c:v>1935</c:v>
                </c:pt>
                <c:pt idx="45">
                  <c:v>1935</c:v>
                </c:pt>
                <c:pt idx="46">
                  <c:v>1935</c:v>
                </c:pt>
                <c:pt idx="47">
                  <c:v>1935</c:v>
                </c:pt>
                <c:pt idx="48">
                  <c:v>1936</c:v>
                </c:pt>
                <c:pt idx="49">
                  <c:v>1936</c:v>
                </c:pt>
                <c:pt idx="50">
                  <c:v>1936</c:v>
                </c:pt>
                <c:pt idx="51">
                  <c:v>1936</c:v>
                </c:pt>
                <c:pt idx="52">
                  <c:v>1936</c:v>
                </c:pt>
                <c:pt idx="53">
                  <c:v>1936</c:v>
                </c:pt>
                <c:pt idx="54">
                  <c:v>1936</c:v>
                </c:pt>
                <c:pt idx="55">
                  <c:v>1936</c:v>
                </c:pt>
                <c:pt idx="56">
                  <c:v>1936</c:v>
                </c:pt>
                <c:pt idx="57">
                  <c:v>1936</c:v>
                </c:pt>
                <c:pt idx="58">
                  <c:v>1936</c:v>
                </c:pt>
                <c:pt idx="59">
                  <c:v>1936</c:v>
                </c:pt>
                <c:pt idx="60">
                  <c:v>1937</c:v>
                </c:pt>
                <c:pt idx="61">
                  <c:v>1937</c:v>
                </c:pt>
                <c:pt idx="62">
                  <c:v>1937</c:v>
                </c:pt>
                <c:pt idx="63">
                  <c:v>1937</c:v>
                </c:pt>
                <c:pt idx="64">
                  <c:v>1937</c:v>
                </c:pt>
                <c:pt idx="65">
                  <c:v>1937</c:v>
                </c:pt>
                <c:pt idx="66">
                  <c:v>1937</c:v>
                </c:pt>
                <c:pt idx="67">
                  <c:v>1937</c:v>
                </c:pt>
                <c:pt idx="68">
                  <c:v>1937</c:v>
                </c:pt>
                <c:pt idx="69">
                  <c:v>1937</c:v>
                </c:pt>
                <c:pt idx="70">
                  <c:v>1937</c:v>
                </c:pt>
                <c:pt idx="71">
                  <c:v>1937</c:v>
                </c:pt>
                <c:pt idx="72">
                  <c:v>1938</c:v>
                </c:pt>
                <c:pt idx="73">
                  <c:v>1938</c:v>
                </c:pt>
                <c:pt idx="74">
                  <c:v>1938</c:v>
                </c:pt>
                <c:pt idx="75">
                  <c:v>1938</c:v>
                </c:pt>
                <c:pt idx="76">
                  <c:v>1938</c:v>
                </c:pt>
                <c:pt idx="77">
                  <c:v>1938</c:v>
                </c:pt>
                <c:pt idx="78">
                  <c:v>1938</c:v>
                </c:pt>
                <c:pt idx="79">
                  <c:v>1938</c:v>
                </c:pt>
                <c:pt idx="80">
                  <c:v>1938</c:v>
                </c:pt>
                <c:pt idx="81">
                  <c:v>1938</c:v>
                </c:pt>
                <c:pt idx="82">
                  <c:v>1938</c:v>
                </c:pt>
                <c:pt idx="83">
                  <c:v>1938</c:v>
                </c:pt>
                <c:pt idx="84">
                  <c:v>1939</c:v>
                </c:pt>
                <c:pt idx="85">
                  <c:v>1939</c:v>
                </c:pt>
                <c:pt idx="86">
                  <c:v>1939</c:v>
                </c:pt>
                <c:pt idx="87">
                  <c:v>1939</c:v>
                </c:pt>
                <c:pt idx="88">
                  <c:v>1939</c:v>
                </c:pt>
                <c:pt idx="89">
                  <c:v>1939</c:v>
                </c:pt>
                <c:pt idx="90">
                  <c:v>1939</c:v>
                </c:pt>
                <c:pt idx="91">
                  <c:v>1939</c:v>
                </c:pt>
                <c:pt idx="92">
                  <c:v>1939</c:v>
                </c:pt>
                <c:pt idx="93">
                  <c:v>1939</c:v>
                </c:pt>
                <c:pt idx="94">
                  <c:v>1939</c:v>
                </c:pt>
                <c:pt idx="95">
                  <c:v>1939</c:v>
                </c:pt>
                <c:pt idx="96">
                  <c:v>1940</c:v>
                </c:pt>
                <c:pt idx="97">
                  <c:v>1940</c:v>
                </c:pt>
                <c:pt idx="98">
                  <c:v>1940</c:v>
                </c:pt>
                <c:pt idx="99">
                  <c:v>1940</c:v>
                </c:pt>
                <c:pt idx="100">
                  <c:v>1940</c:v>
                </c:pt>
                <c:pt idx="101">
                  <c:v>1940</c:v>
                </c:pt>
                <c:pt idx="102">
                  <c:v>1940</c:v>
                </c:pt>
                <c:pt idx="103">
                  <c:v>1940</c:v>
                </c:pt>
                <c:pt idx="104">
                  <c:v>1940</c:v>
                </c:pt>
                <c:pt idx="105">
                  <c:v>1940</c:v>
                </c:pt>
                <c:pt idx="106">
                  <c:v>1940</c:v>
                </c:pt>
                <c:pt idx="107">
                  <c:v>1940</c:v>
                </c:pt>
                <c:pt idx="108">
                  <c:v>1941</c:v>
                </c:pt>
                <c:pt idx="109">
                  <c:v>1941</c:v>
                </c:pt>
                <c:pt idx="110">
                  <c:v>1941</c:v>
                </c:pt>
                <c:pt idx="111">
                  <c:v>1941</c:v>
                </c:pt>
                <c:pt idx="112">
                  <c:v>1941</c:v>
                </c:pt>
                <c:pt idx="113">
                  <c:v>1941</c:v>
                </c:pt>
                <c:pt idx="114">
                  <c:v>1941</c:v>
                </c:pt>
                <c:pt idx="115">
                  <c:v>1941</c:v>
                </c:pt>
                <c:pt idx="116">
                  <c:v>1941</c:v>
                </c:pt>
                <c:pt idx="117">
                  <c:v>1941</c:v>
                </c:pt>
                <c:pt idx="118">
                  <c:v>1941</c:v>
                </c:pt>
                <c:pt idx="119">
                  <c:v>1941</c:v>
                </c:pt>
                <c:pt idx="120">
                  <c:v>1942</c:v>
                </c:pt>
                <c:pt idx="121">
                  <c:v>1942</c:v>
                </c:pt>
                <c:pt idx="122">
                  <c:v>1942</c:v>
                </c:pt>
                <c:pt idx="123">
                  <c:v>1942</c:v>
                </c:pt>
                <c:pt idx="124">
                  <c:v>1942</c:v>
                </c:pt>
                <c:pt idx="125">
                  <c:v>1942</c:v>
                </c:pt>
                <c:pt idx="126">
                  <c:v>1942</c:v>
                </c:pt>
                <c:pt idx="127">
                  <c:v>1942</c:v>
                </c:pt>
                <c:pt idx="128">
                  <c:v>1942</c:v>
                </c:pt>
                <c:pt idx="129">
                  <c:v>1942</c:v>
                </c:pt>
                <c:pt idx="130">
                  <c:v>1942</c:v>
                </c:pt>
                <c:pt idx="131">
                  <c:v>1942</c:v>
                </c:pt>
                <c:pt idx="132">
                  <c:v>1943</c:v>
                </c:pt>
                <c:pt idx="133">
                  <c:v>1943</c:v>
                </c:pt>
                <c:pt idx="134">
                  <c:v>1943</c:v>
                </c:pt>
                <c:pt idx="135">
                  <c:v>1943</c:v>
                </c:pt>
                <c:pt idx="136">
                  <c:v>1943</c:v>
                </c:pt>
                <c:pt idx="137">
                  <c:v>1943</c:v>
                </c:pt>
                <c:pt idx="138">
                  <c:v>1943</c:v>
                </c:pt>
                <c:pt idx="139">
                  <c:v>1943</c:v>
                </c:pt>
                <c:pt idx="140">
                  <c:v>1943</c:v>
                </c:pt>
                <c:pt idx="141">
                  <c:v>1943</c:v>
                </c:pt>
                <c:pt idx="142">
                  <c:v>1943</c:v>
                </c:pt>
                <c:pt idx="143">
                  <c:v>1943</c:v>
                </c:pt>
                <c:pt idx="144">
                  <c:v>1944</c:v>
                </c:pt>
                <c:pt idx="145">
                  <c:v>1944</c:v>
                </c:pt>
                <c:pt idx="146">
                  <c:v>1944</c:v>
                </c:pt>
                <c:pt idx="147">
                  <c:v>1944</c:v>
                </c:pt>
                <c:pt idx="148">
                  <c:v>1944</c:v>
                </c:pt>
                <c:pt idx="149">
                  <c:v>1944</c:v>
                </c:pt>
                <c:pt idx="150">
                  <c:v>1944</c:v>
                </c:pt>
                <c:pt idx="151">
                  <c:v>1944</c:v>
                </c:pt>
                <c:pt idx="152">
                  <c:v>1944</c:v>
                </c:pt>
                <c:pt idx="153">
                  <c:v>1944</c:v>
                </c:pt>
                <c:pt idx="154">
                  <c:v>1944</c:v>
                </c:pt>
                <c:pt idx="155">
                  <c:v>1944</c:v>
                </c:pt>
                <c:pt idx="156">
                  <c:v>1945</c:v>
                </c:pt>
                <c:pt idx="157">
                  <c:v>1945</c:v>
                </c:pt>
                <c:pt idx="158">
                  <c:v>1945</c:v>
                </c:pt>
                <c:pt idx="159">
                  <c:v>1945</c:v>
                </c:pt>
                <c:pt idx="160">
                  <c:v>1945</c:v>
                </c:pt>
                <c:pt idx="161">
                  <c:v>1945</c:v>
                </c:pt>
                <c:pt idx="162">
                  <c:v>1945</c:v>
                </c:pt>
                <c:pt idx="163">
                  <c:v>1945</c:v>
                </c:pt>
                <c:pt idx="164">
                  <c:v>1945</c:v>
                </c:pt>
                <c:pt idx="165">
                  <c:v>1945</c:v>
                </c:pt>
                <c:pt idx="166">
                  <c:v>1945</c:v>
                </c:pt>
                <c:pt idx="167">
                  <c:v>1945</c:v>
                </c:pt>
                <c:pt idx="168">
                  <c:v>1946</c:v>
                </c:pt>
                <c:pt idx="169">
                  <c:v>1946</c:v>
                </c:pt>
                <c:pt idx="170">
                  <c:v>1946</c:v>
                </c:pt>
                <c:pt idx="171">
                  <c:v>1946</c:v>
                </c:pt>
                <c:pt idx="172">
                  <c:v>1946</c:v>
                </c:pt>
                <c:pt idx="173">
                  <c:v>1946</c:v>
                </c:pt>
                <c:pt idx="174">
                  <c:v>1946</c:v>
                </c:pt>
                <c:pt idx="175">
                  <c:v>1946</c:v>
                </c:pt>
                <c:pt idx="176">
                  <c:v>1946</c:v>
                </c:pt>
                <c:pt idx="177">
                  <c:v>1946</c:v>
                </c:pt>
                <c:pt idx="178">
                  <c:v>1946</c:v>
                </c:pt>
                <c:pt idx="179">
                  <c:v>1946</c:v>
                </c:pt>
                <c:pt idx="180">
                  <c:v>1947</c:v>
                </c:pt>
                <c:pt idx="181">
                  <c:v>1947</c:v>
                </c:pt>
                <c:pt idx="182">
                  <c:v>1947</c:v>
                </c:pt>
                <c:pt idx="183">
                  <c:v>1947</c:v>
                </c:pt>
                <c:pt idx="184">
                  <c:v>1947</c:v>
                </c:pt>
                <c:pt idx="185">
                  <c:v>1947</c:v>
                </c:pt>
                <c:pt idx="186">
                  <c:v>1947</c:v>
                </c:pt>
                <c:pt idx="187">
                  <c:v>1947</c:v>
                </c:pt>
                <c:pt idx="188">
                  <c:v>1947</c:v>
                </c:pt>
                <c:pt idx="189">
                  <c:v>1947</c:v>
                </c:pt>
                <c:pt idx="190">
                  <c:v>1947</c:v>
                </c:pt>
                <c:pt idx="191">
                  <c:v>1947</c:v>
                </c:pt>
                <c:pt idx="192">
                  <c:v>1948</c:v>
                </c:pt>
                <c:pt idx="193">
                  <c:v>1948</c:v>
                </c:pt>
                <c:pt idx="194">
                  <c:v>1948</c:v>
                </c:pt>
                <c:pt idx="195">
                  <c:v>1948</c:v>
                </c:pt>
                <c:pt idx="196">
                  <c:v>1948</c:v>
                </c:pt>
                <c:pt idx="197">
                  <c:v>1948</c:v>
                </c:pt>
                <c:pt idx="198">
                  <c:v>1948</c:v>
                </c:pt>
                <c:pt idx="199">
                  <c:v>1948</c:v>
                </c:pt>
                <c:pt idx="200">
                  <c:v>1948</c:v>
                </c:pt>
                <c:pt idx="201">
                  <c:v>1948</c:v>
                </c:pt>
                <c:pt idx="202">
                  <c:v>1948</c:v>
                </c:pt>
                <c:pt idx="203">
                  <c:v>1948</c:v>
                </c:pt>
                <c:pt idx="204">
                  <c:v>1949</c:v>
                </c:pt>
                <c:pt idx="205">
                  <c:v>1949</c:v>
                </c:pt>
                <c:pt idx="206">
                  <c:v>1949</c:v>
                </c:pt>
                <c:pt idx="207">
                  <c:v>1949</c:v>
                </c:pt>
                <c:pt idx="208">
                  <c:v>1949</c:v>
                </c:pt>
                <c:pt idx="209">
                  <c:v>1949</c:v>
                </c:pt>
                <c:pt idx="210">
                  <c:v>1949</c:v>
                </c:pt>
                <c:pt idx="211">
                  <c:v>1949</c:v>
                </c:pt>
                <c:pt idx="212">
                  <c:v>1949</c:v>
                </c:pt>
                <c:pt idx="213">
                  <c:v>1949</c:v>
                </c:pt>
                <c:pt idx="214">
                  <c:v>1949</c:v>
                </c:pt>
                <c:pt idx="215">
                  <c:v>1949</c:v>
                </c:pt>
                <c:pt idx="216">
                  <c:v>1950</c:v>
                </c:pt>
                <c:pt idx="217">
                  <c:v>1950</c:v>
                </c:pt>
                <c:pt idx="218">
                  <c:v>1950</c:v>
                </c:pt>
                <c:pt idx="219">
                  <c:v>1950</c:v>
                </c:pt>
                <c:pt idx="220">
                  <c:v>1950</c:v>
                </c:pt>
                <c:pt idx="221">
                  <c:v>1950</c:v>
                </c:pt>
                <c:pt idx="222">
                  <c:v>1950</c:v>
                </c:pt>
                <c:pt idx="223">
                  <c:v>1950</c:v>
                </c:pt>
                <c:pt idx="224">
                  <c:v>1950</c:v>
                </c:pt>
                <c:pt idx="225">
                  <c:v>1950</c:v>
                </c:pt>
                <c:pt idx="226">
                  <c:v>1950</c:v>
                </c:pt>
                <c:pt idx="227">
                  <c:v>1950</c:v>
                </c:pt>
                <c:pt idx="228">
                  <c:v>1951</c:v>
                </c:pt>
                <c:pt idx="229">
                  <c:v>1951</c:v>
                </c:pt>
                <c:pt idx="230">
                  <c:v>1951</c:v>
                </c:pt>
                <c:pt idx="231">
                  <c:v>1951</c:v>
                </c:pt>
                <c:pt idx="232">
                  <c:v>1951</c:v>
                </c:pt>
                <c:pt idx="233">
                  <c:v>1951</c:v>
                </c:pt>
                <c:pt idx="234">
                  <c:v>1951</c:v>
                </c:pt>
                <c:pt idx="235">
                  <c:v>1951</c:v>
                </c:pt>
                <c:pt idx="236">
                  <c:v>1951</c:v>
                </c:pt>
                <c:pt idx="237">
                  <c:v>1951</c:v>
                </c:pt>
                <c:pt idx="238">
                  <c:v>1951</c:v>
                </c:pt>
                <c:pt idx="239">
                  <c:v>1951</c:v>
                </c:pt>
                <c:pt idx="240">
                  <c:v>1952</c:v>
                </c:pt>
                <c:pt idx="241">
                  <c:v>1952</c:v>
                </c:pt>
                <c:pt idx="242">
                  <c:v>1952</c:v>
                </c:pt>
                <c:pt idx="243">
                  <c:v>1952</c:v>
                </c:pt>
                <c:pt idx="244">
                  <c:v>1952</c:v>
                </c:pt>
                <c:pt idx="245">
                  <c:v>1952</c:v>
                </c:pt>
                <c:pt idx="246">
                  <c:v>1952</c:v>
                </c:pt>
                <c:pt idx="247">
                  <c:v>1952</c:v>
                </c:pt>
                <c:pt idx="248">
                  <c:v>1952</c:v>
                </c:pt>
                <c:pt idx="249">
                  <c:v>1952</c:v>
                </c:pt>
                <c:pt idx="250">
                  <c:v>1952</c:v>
                </c:pt>
                <c:pt idx="251">
                  <c:v>1952</c:v>
                </c:pt>
                <c:pt idx="252">
                  <c:v>1953</c:v>
                </c:pt>
                <c:pt idx="253">
                  <c:v>1953</c:v>
                </c:pt>
                <c:pt idx="254">
                  <c:v>1953</c:v>
                </c:pt>
                <c:pt idx="255">
                  <c:v>1953</c:v>
                </c:pt>
                <c:pt idx="256">
                  <c:v>1953</c:v>
                </c:pt>
                <c:pt idx="257">
                  <c:v>1953</c:v>
                </c:pt>
                <c:pt idx="258">
                  <c:v>1953</c:v>
                </c:pt>
                <c:pt idx="259">
                  <c:v>1953</c:v>
                </c:pt>
                <c:pt idx="260">
                  <c:v>1953</c:v>
                </c:pt>
                <c:pt idx="261">
                  <c:v>1953</c:v>
                </c:pt>
                <c:pt idx="262">
                  <c:v>1953</c:v>
                </c:pt>
                <c:pt idx="263">
                  <c:v>1953</c:v>
                </c:pt>
                <c:pt idx="264">
                  <c:v>1954</c:v>
                </c:pt>
                <c:pt idx="265">
                  <c:v>1954</c:v>
                </c:pt>
                <c:pt idx="266">
                  <c:v>1954</c:v>
                </c:pt>
                <c:pt idx="267">
                  <c:v>1954</c:v>
                </c:pt>
                <c:pt idx="268">
                  <c:v>1954</c:v>
                </c:pt>
                <c:pt idx="269">
                  <c:v>1954</c:v>
                </c:pt>
                <c:pt idx="270">
                  <c:v>1954</c:v>
                </c:pt>
                <c:pt idx="271">
                  <c:v>1954</c:v>
                </c:pt>
                <c:pt idx="272">
                  <c:v>1954</c:v>
                </c:pt>
                <c:pt idx="273">
                  <c:v>1954</c:v>
                </c:pt>
                <c:pt idx="274">
                  <c:v>1954</c:v>
                </c:pt>
                <c:pt idx="275">
                  <c:v>1954</c:v>
                </c:pt>
                <c:pt idx="276">
                  <c:v>1955</c:v>
                </c:pt>
                <c:pt idx="277">
                  <c:v>1955</c:v>
                </c:pt>
                <c:pt idx="278">
                  <c:v>1955</c:v>
                </c:pt>
                <c:pt idx="279">
                  <c:v>1955</c:v>
                </c:pt>
                <c:pt idx="280">
                  <c:v>1955</c:v>
                </c:pt>
                <c:pt idx="281">
                  <c:v>1955</c:v>
                </c:pt>
                <c:pt idx="282">
                  <c:v>1955</c:v>
                </c:pt>
                <c:pt idx="283">
                  <c:v>1955</c:v>
                </c:pt>
                <c:pt idx="284">
                  <c:v>1955</c:v>
                </c:pt>
                <c:pt idx="285">
                  <c:v>1955</c:v>
                </c:pt>
                <c:pt idx="286">
                  <c:v>1955</c:v>
                </c:pt>
                <c:pt idx="287">
                  <c:v>1955</c:v>
                </c:pt>
                <c:pt idx="288">
                  <c:v>1956</c:v>
                </c:pt>
                <c:pt idx="289">
                  <c:v>1956</c:v>
                </c:pt>
                <c:pt idx="290">
                  <c:v>1956</c:v>
                </c:pt>
                <c:pt idx="291">
                  <c:v>1956</c:v>
                </c:pt>
                <c:pt idx="292">
                  <c:v>1956</c:v>
                </c:pt>
                <c:pt idx="293">
                  <c:v>1956</c:v>
                </c:pt>
                <c:pt idx="294">
                  <c:v>1956</c:v>
                </c:pt>
                <c:pt idx="295">
                  <c:v>1956</c:v>
                </c:pt>
                <c:pt idx="296">
                  <c:v>1956</c:v>
                </c:pt>
                <c:pt idx="297">
                  <c:v>1956</c:v>
                </c:pt>
                <c:pt idx="298">
                  <c:v>1956</c:v>
                </c:pt>
                <c:pt idx="299">
                  <c:v>1956</c:v>
                </c:pt>
                <c:pt idx="300">
                  <c:v>1957</c:v>
                </c:pt>
                <c:pt idx="301">
                  <c:v>1957</c:v>
                </c:pt>
                <c:pt idx="302">
                  <c:v>1957</c:v>
                </c:pt>
                <c:pt idx="303">
                  <c:v>1957</c:v>
                </c:pt>
                <c:pt idx="304">
                  <c:v>1957</c:v>
                </c:pt>
                <c:pt idx="305">
                  <c:v>1957</c:v>
                </c:pt>
                <c:pt idx="306">
                  <c:v>1957</c:v>
                </c:pt>
                <c:pt idx="307">
                  <c:v>1957</c:v>
                </c:pt>
                <c:pt idx="308">
                  <c:v>1957</c:v>
                </c:pt>
                <c:pt idx="309">
                  <c:v>1957</c:v>
                </c:pt>
                <c:pt idx="310">
                  <c:v>1957</c:v>
                </c:pt>
                <c:pt idx="311">
                  <c:v>1957</c:v>
                </c:pt>
                <c:pt idx="312">
                  <c:v>1958</c:v>
                </c:pt>
                <c:pt idx="313">
                  <c:v>1958</c:v>
                </c:pt>
                <c:pt idx="314">
                  <c:v>1958</c:v>
                </c:pt>
                <c:pt idx="315">
                  <c:v>1958</c:v>
                </c:pt>
                <c:pt idx="316">
                  <c:v>1958</c:v>
                </c:pt>
                <c:pt idx="317">
                  <c:v>1958</c:v>
                </c:pt>
                <c:pt idx="318">
                  <c:v>1958</c:v>
                </c:pt>
                <c:pt idx="319">
                  <c:v>1958</c:v>
                </c:pt>
                <c:pt idx="320">
                  <c:v>1958</c:v>
                </c:pt>
                <c:pt idx="321">
                  <c:v>1958</c:v>
                </c:pt>
                <c:pt idx="322">
                  <c:v>1958</c:v>
                </c:pt>
                <c:pt idx="323">
                  <c:v>1958</c:v>
                </c:pt>
                <c:pt idx="324">
                  <c:v>1959</c:v>
                </c:pt>
                <c:pt idx="325">
                  <c:v>1959</c:v>
                </c:pt>
                <c:pt idx="326">
                  <c:v>1959</c:v>
                </c:pt>
                <c:pt idx="327">
                  <c:v>1959</c:v>
                </c:pt>
                <c:pt idx="328">
                  <c:v>1959</c:v>
                </c:pt>
                <c:pt idx="329">
                  <c:v>1959</c:v>
                </c:pt>
                <c:pt idx="330">
                  <c:v>1959</c:v>
                </c:pt>
                <c:pt idx="331">
                  <c:v>1959</c:v>
                </c:pt>
                <c:pt idx="332">
                  <c:v>1959</c:v>
                </c:pt>
                <c:pt idx="333">
                  <c:v>1959</c:v>
                </c:pt>
                <c:pt idx="334">
                  <c:v>1959</c:v>
                </c:pt>
                <c:pt idx="335">
                  <c:v>1959</c:v>
                </c:pt>
                <c:pt idx="336">
                  <c:v>1960</c:v>
                </c:pt>
                <c:pt idx="337">
                  <c:v>1960</c:v>
                </c:pt>
                <c:pt idx="338">
                  <c:v>1960</c:v>
                </c:pt>
                <c:pt idx="339">
                  <c:v>1960</c:v>
                </c:pt>
                <c:pt idx="340">
                  <c:v>1960</c:v>
                </c:pt>
                <c:pt idx="341">
                  <c:v>1960</c:v>
                </c:pt>
                <c:pt idx="342">
                  <c:v>1960</c:v>
                </c:pt>
                <c:pt idx="343">
                  <c:v>1960</c:v>
                </c:pt>
                <c:pt idx="344">
                  <c:v>1960</c:v>
                </c:pt>
                <c:pt idx="345">
                  <c:v>1960</c:v>
                </c:pt>
                <c:pt idx="346">
                  <c:v>1960</c:v>
                </c:pt>
                <c:pt idx="347">
                  <c:v>1960</c:v>
                </c:pt>
                <c:pt idx="348">
                  <c:v>1961</c:v>
                </c:pt>
                <c:pt idx="349">
                  <c:v>1961</c:v>
                </c:pt>
                <c:pt idx="350">
                  <c:v>1961</c:v>
                </c:pt>
                <c:pt idx="351">
                  <c:v>1961</c:v>
                </c:pt>
                <c:pt idx="352">
                  <c:v>1961</c:v>
                </c:pt>
                <c:pt idx="353">
                  <c:v>1961</c:v>
                </c:pt>
                <c:pt idx="354">
                  <c:v>1961</c:v>
                </c:pt>
                <c:pt idx="355">
                  <c:v>1961</c:v>
                </c:pt>
                <c:pt idx="356">
                  <c:v>1961</c:v>
                </c:pt>
                <c:pt idx="357">
                  <c:v>1961</c:v>
                </c:pt>
                <c:pt idx="358">
                  <c:v>1961</c:v>
                </c:pt>
                <c:pt idx="359">
                  <c:v>1961</c:v>
                </c:pt>
                <c:pt idx="360">
                  <c:v>1962</c:v>
                </c:pt>
                <c:pt idx="361">
                  <c:v>1962</c:v>
                </c:pt>
                <c:pt idx="362">
                  <c:v>1962</c:v>
                </c:pt>
                <c:pt idx="363">
                  <c:v>1962</c:v>
                </c:pt>
                <c:pt idx="364">
                  <c:v>1962</c:v>
                </c:pt>
                <c:pt idx="365">
                  <c:v>1962</c:v>
                </c:pt>
                <c:pt idx="366">
                  <c:v>1962</c:v>
                </c:pt>
                <c:pt idx="367">
                  <c:v>1962</c:v>
                </c:pt>
                <c:pt idx="368">
                  <c:v>1962</c:v>
                </c:pt>
                <c:pt idx="369">
                  <c:v>1962</c:v>
                </c:pt>
                <c:pt idx="370">
                  <c:v>1962</c:v>
                </c:pt>
                <c:pt idx="371">
                  <c:v>1962</c:v>
                </c:pt>
              </c:numCache>
            </c:numRef>
          </c:cat>
          <c:val>
            <c:numRef>
              <c:f>Sheet1!$D$2:$D$373</c:f>
              <c:numCache>
                <c:formatCode>General</c:formatCode>
                <c:ptCount val="372"/>
                <c:pt idx="0">
                  <c:v>99.95</c:v>
                </c:pt>
                <c:pt idx="1">
                  <c:v>101.09</c:v>
                </c:pt>
                <c:pt idx="2">
                  <c:v>77.62</c:v>
                </c:pt>
                <c:pt idx="3">
                  <c:v>68.83</c:v>
                </c:pt>
                <c:pt idx="4">
                  <c:v>60.3</c:v>
                </c:pt>
                <c:pt idx="5">
                  <c:v>64.03</c:v>
                </c:pt>
                <c:pt idx="6">
                  <c:v>96.92</c:v>
                </c:pt>
                <c:pt idx="7">
                  <c:v>106.96</c:v>
                </c:pt>
                <c:pt idx="8">
                  <c:v>92.83</c:v>
                </c:pt>
                <c:pt idx="9">
                  <c:v>92.51</c:v>
                </c:pt>
                <c:pt idx="10">
                  <c:v>90.07</c:v>
                </c:pt>
                <c:pt idx="11">
                  <c:v>94.19</c:v>
                </c:pt>
                <c:pt idx="12">
                  <c:v>83.58</c:v>
                </c:pt>
                <c:pt idx="13">
                  <c:v>83.86</c:v>
                </c:pt>
                <c:pt idx="14">
                  <c:v>93.28</c:v>
                </c:pt>
                <c:pt idx="15">
                  <c:v>120.63</c:v>
                </c:pt>
                <c:pt idx="16">
                  <c:v>141.84</c:v>
                </c:pt>
                <c:pt idx="17">
                  <c:v>153.84</c:v>
                </c:pt>
                <c:pt idx="18">
                  <c:v>146.69999999999999</c:v>
                </c:pt>
                <c:pt idx="19">
                  <c:v>145.99</c:v>
                </c:pt>
                <c:pt idx="20">
                  <c:v>132.30000000000001</c:v>
                </c:pt>
                <c:pt idx="21">
                  <c:v>136.01</c:v>
                </c:pt>
                <c:pt idx="22">
                  <c:v>139.16999999999999</c:v>
                </c:pt>
                <c:pt idx="23">
                  <c:v>147.63999999999999</c:v>
                </c:pt>
                <c:pt idx="24">
                  <c:v>159.08000000000001</c:v>
                </c:pt>
                <c:pt idx="25">
                  <c:v>151.44</c:v>
                </c:pt>
                <c:pt idx="26">
                  <c:v>154.5</c:v>
                </c:pt>
                <c:pt idx="27">
                  <c:v>139.32</c:v>
                </c:pt>
                <c:pt idx="28">
                  <c:v>141.69</c:v>
                </c:pt>
                <c:pt idx="29">
                  <c:v>135.52000000000001</c:v>
                </c:pt>
                <c:pt idx="30">
                  <c:v>130.76</c:v>
                </c:pt>
                <c:pt idx="31">
                  <c:v>128.13</c:v>
                </c:pt>
                <c:pt idx="32">
                  <c:v>129.68</c:v>
                </c:pt>
                <c:pt idx="33">
                  <c:v>133.84</c:v>
                </c:pt>
                <c:pt idx="34">
                  <c:v>135.26</c:v>
                </c:pt>
                <c:pt idx="35">
                  <c:v>135.81</c:v>
                </c:pt>
                <c:pt idx="36">
                  <c:v>132.25</c:v>
                </c:pt>
                <c:pt idx="37">
                  <c:v>124.41</c:v>
                </c:pt>
                <c:pt idx="38">
                  <c:v>134.28</c:v>
                </c:pt>
                <c:pt idx="39">
                  <c:v>145.38</c:v>
                </c:pt>
                <c:pt idx="40">
                  <c:v>151.44999999999999</c:v>
                </c:pt>
                <c:pt idx="41">
                  <c:v>159.93</c:v>
                </c:pt>
                <c:pt idx="42">
                  <c:v>171.29</c:v>
                </c:pt>
                <c:pt idx="43">
                  <c:v>175.46</c:v>
                </c:pt>
                <c:pt idx="44">
                  <c:v>180.7</c:v>
                </c:pt>
                <c:pt idx="45">
                  <c:v>198.25</c:v>
                </c:pt>
                <c:pt idx="46">
                  <c:v>198.83</c:v>
                </c:pt>
                <c:pt idx="47">
                  <c:v>210.41</c:v>
                </c:pt>
                <c:pt idx="48">
                  <c:v>223.1</c:v>
                </c:pt>
                <c:pt idx="49">
                  <c:v>228.48</c:v>
                </c:pt>
                <c:pt idx="50">
                  <c:v>229.43</c:v>
                </c:pt>
                <c:pt idx="51">
                  <c:v>217.91</c:v>
                </c:pt>
                <c:pt idx="52">
                  <c:v>227.88</c:v>
                </c:pt>
                <c:pt idx="53">
                  <c:v>242.08</c:v>
                </c:pt>
                <c:pt idx="54">
                  <c:v>247.64</c:v>
                </c:pt>
                <c:pt idx="55">
                  <c:v>251.22</c:v>
                </c:pt>
                <c:pt idx="56">
                  <c:v>265.16000000000003</c:v>
                </c:pt>
                <c:pt idx="57">
                  <c:v>273.39</c:v>
                </c:pt>
                <c:pt idx="58">
                  <c:v>269.56</c:v>
                </c:pt>
                <c:pt idx="59">
                  <c:v>278.88</c:v>
                </c:pt>
                <c:pt idx="60">
                  <c:v>288.08999999999997</c:v>
                </c:pt>
                <c:pt idx="61">
                  <c:v>288.75</c:v>
                </c:pt>
                <c:pt idx="62">
                  <c:v>272.51</c:v>
                </c:pt>
                <c:pt idx="63">
                  <c:v>261.38</c:v>
                </c:pt>
                <c:pt idx="64">
                  <c:v>252.65</c:v>
                </c:pt>
                <c:pt idx="65">
                  <c:v>268.81</c:v>
                </c:pt>
                <c:pt idx="66">
                  <c:v>272.67</c:v>
                </c:pt>
                <c:pt idx="67">
                  <c:v>235.14</c:v>
                </c:pt>
                <c:pt idx="68">
                  <c:v>201.99</c:v>
                </c:pt>
                <c:pt idx="69">
                  <c:v>185.3</c:v>
                </c:pt>
                <c:pt idx="70">
                  <c:v>183.41</c:v>
                </c:pt>
                <c:pt idx="71">
                  <c:v>189.34</c:v>
                </c:pt>
                <c:pt idx="72">
                  <c:v>185.93</c:v>
                </c:pt>
                <c:pt idx="73">
                  <c:v>174.74</c:v>
                </c:pt>
                <c:pt idx="74">
                  <c:v>168.72</c:v>
                </c:pt>
                <c:pt idx="75">
                  <c:v>171.35</c:v>
                </c:pt>
                <c:pt idx="76">
                  <c:v>176.38</c:v>
                </c:pt>
                <c:pt idx="77">
                  <c:v>212.51</c:v>
                </c:pt>
                <c:pt idx="78">
                  <c:v>214.76</c:v>
                </c:pt>
                <c:pt idx="79">
                  <c:v>205.98</c:v>
                </c:pt>
                <c:pt idx="80">
                  <c:v>229.91</c:v>
                </c:pt>
                <c:pt idx="81">
                  <c:v>230.99</c:v>
                </c:pt>
                <c:pt idx="82">
                  <c:v>225.09</c:v>
                </c:pt>
                <c:pt idx="83">
                  <c:v>222.48</c:v>
                </c:pt>
                <c:pt idx="84">
                  <c:v>221.46</c:v>
                </c:pt>
                <c:pt idx="85">
                  <c:v>222.05</c:v>
                </c:pt>
                <c:pt idx="86">
                  <c:v>194.87</c:v>
                </c:pt>
                <c:pt idx="87">
                  <c:v>202.85</c:v>
                </c:pt>
                <c:pt idx="88">
                  <c:v>207.26</c:v>
                </c:pt>
                <c:pt idx="89">
                  <c:v>213.13</c:v>
                </c:pt>
                <c:pt idx="90">
                  <c:v>210.86</c:v>
                </c:pt>
                <c:pt idx="91">
                  <c:v>234.17</c:v>
                </c:pt>
                <c:pt idx="92">
                  <c:v>237.41</c:v>
                </c:pt>
                <c:pt idx="93">
                  <c:v>234.07</c:v>
                </c:pt>
                <c:pt idx="94">
                  <c:v>229.45</c:v>
                </c:pt>
                <c:pt idx="95">
                  <c:v>229.11</c:v>
                </c:pt>
                <c:pt idx="96">
                  <c:v>228.59</c:v>
                </c:pt>
                <c:pt idx="97">
                  <c:v>228.25</c:v>
                </c:pt>
                <c:pt idx="98">
                  <c:v>231.49</c:v>
                </c:pt>
                <c:pt idx="99">
                  <c:v>200.61</c:v>
                </c:pt>
                <c:pt idx="100">
                  <c:v>184.37</c:v>
                </c:pt>
                <c:pt idx="101">
                  <c:v>191.51</c:v>
                </c:pt>
                <c:pt idx="102">
                  <c:v>196.58</c:v>
                </c:pt>
                <c:pt idx="103">
                  <c:v>205.93</c:v>
                </c:pt>
                <c:pt idx="104">
                  <c:v>208.95</c:v>
                </c:pt>
                <c:pt idx="105">
                  <c:v>214.91</c:v>
                </c:pt>
                <c:pt idx="106">
                  <c:v>207.19</c:v>
                </c:pt>
                <c:pt idx="107">
                  <c:v>208.69</c:v>
                </c:pt>
                <c:pt idx="108">
                  <c:v>196.74</c:v>
                </c:pt>
                <c:pt idx="109">
                  <c:v>199.06</c:v>
                </c:pt>
                <c:pt idx="110">
                  <c:v>193.99</c:v>
                </c:pt>
                <c:pt idx="111">
                  <c:v>190.91</c:v>
                </c:pt>
                <c:pt idx="112">
                  <c:v>198.75</c:v>
                </c:pt>
                <c:pt idx="113">
                  <c:v>210.1</c:v>
                </c:pt>
                <c:pt idx="114">
                  <c:v>210.26</c:v>
                </c:pt>
                <c:pt idx="115">
                  <c:v>212.07</c:v>
                </c:pt>
                <c:pt idx="116">
                  <c:v>204.79</c:v>
                </c:pt>
                <c:pt idx="117">
                  <c:v>196.43</c:v>
                </c:pt>
                <c:pt idx="118">
                  <c:v>184.87</c:v>
                </c:pt>
                <c:pt idx="119">
                  <c:v>189.71</c:v>
                </c:pt>
                <c:pt idx="120">
                  <c:v>185.01</c:v>
                </c:pt>
                <c:pt idx="121">
                  <c:v>176.2</c:v>
                </c:pt>
                <c:pt idx="122">
                  <c:v>170.11</c:v>
                </c:pt>
                <c:pt idx="123">
                  <c:v>173.29</c:v>
                </c:pt>
                <c:pt idx="124">
                  <c:v>183.25</c:v>
                </c:pt>
                <c:pt idx="125">
                  <c:v>191.28</c:v>
                </c:pt>
                <c:pt idx="126">
                  <c:v>191.37</c:v>
                </c:pt>
                <c:pt idx="127">
                  <c:v>194.55</c:v>
                </c:pt>
                <c:pt idx="128">
                  <c:v>210.05</c:v>
                </c:pt>
                <c:pt idx="129">
                  <c:v>214.58</c:v>
                </c:pt>
                <c:pt idx="130">
                  <c:v>216.85</c:v>
                </c:pt>
                <c:pt idx="131">
                  <c:v>230.95</c:v>
                </c:pt>
                <c:pt idx="132">
                  <c:v>245.81</c:v>
                </c:pt>
                <c:pt idx="133">
                  <c:v>255.68</c:v>
                </c:pt>
                <c:pt idx="134">
                  <c:v>265.36</c:v>
                </c:pt>
                <c:pt idx="135">
                  <c:v>276.94</c:v>
                </c:pt>
                <c:pt idx="136">
                  <c:v>282.97000000000003</c:v>
                </c:pt>
                <c:pt idx="137">
                  <c:v>289.97000000000003</c:v>
                </c:pt>
                <c:pt idx="138">
                  <c:v>276.81</c:v>
                </c:pt>
                <c:pt idx="139">
                  <c:v>283.87</c:v>
                </c:pt>
                <c:pt idx="140">
                  <c:v>282.45</c:v>
                </c:pt>
                <c:pt idx="141">
                  <c:v>270.57</c:v>
                </c:pt>
                <c:pt idx="142">
                  <c:v>275.36</c:v>
                </c:pt>
                <c:pt idx="143">
                  <c:v>285.45999999999998</c:v>
                </c:pt>
                <c:pt idx="144">
                  <c:v>284.76</c:v>
                </c:pt>
                <c:pt idx="145">
                  <c:v>293.99</c:v>
                </c:pt>
                <c:pt idx="146">
                  <c:v>290.14</c:v>
                </c:pt>
                <c:pt idx="147">
                  <c:v>296.52999999999997</c:v>
                </c:pt>
                <c:pt idx="148">
                  <c:v>311.77999999999997</c:v>
                </c:pt>
                <c:pt idx="149">
                  <c:v>321.19</c:v>
                </c:pt>
                <c:pt idx="150">
                  <c:v>317.8</c:v>
                </c:pt>
                <c:pt idx="151">
                  <c:v>313.91000000000003</c:v>
                </c:pt>
                <c:pt idx="152">
                  <c:v>322.95999999999998</c:v>
                </c:pt>
                <c:pt idx="153">
                  <c:v>322.04000000000002</c:v>
                </c:pt>
                <c:pt idx="154">
                  <c:v>330.42</c:v>
                </c:pt>
                <c:pt idx="155">
                  <c:v>341.6</c:v>
                </c:pt>
                <c:pt idx="156">
                  <c:v>354.35</c:v>
                </c:pt>
                <c:pt idx="157">
                  <c:v>355.47</c:v>
                </c:pt>
                <c:pt idx="158">
                  <c:v>365.78</c:v>
                </c:pt>
                <c:pt idx="159">
                  <c:v>381</c:v>
                </c:pt>
                <c:pt idx="160">
                  <c:v>389.34</c:v>
                </c:pt>
                <c:pt idx="161">
                  <c:v>382.74</c:v>
                </c:pt>
                <c:pt idx="162">
                  <c:v>385.44</c:v>
                </c:pt>
                <c:pt idx="163">
                  <c:v>413.11</c:v>
                </c:pt>
                <c:pt idx="164">
                  <c:v>431.76</c:v>
                </c:pt>
                <c:pt idx="165">
                  <c:v>447.33</c:v>
                </c:pt>
                <c:pt idx="166">
                  <c:v>456.39</c:v>
                </c:pt>
                <c:pt idx="167">
                  <c:v>476.01</c:v>
                </c:pt>
                <c:pt idx="168">
                  <c:v>478.79</c:v>
                </c:pt>
                <c:pt idx="169">
                  <c:v>465.97</c:v>
                </c:pt>
                <c:pt idx="170">
                  <c:v>497.52</c:v>
                </c:pt>
                <c:pt idx="171">
                  <c:v>500.09</c:v>
                </c:pt>
                <c:pt idx="172">
                  <c:v>498.4</c:v>
                </c:pt>
                <c:pt idx="173">
                  <c:v>485.7</c:v>
                </c:pt>
                <c:pt idx="174">
                  <c:v>477.82</c:v>
                </c:pt>
                <c:pt idx="175">
                  <c:v>408.9</c:v>
                </c:pt>
                <c:pt idx="176">
                  <c:v>401.25</c:v>
                </c:pt>
                <c:pt idx="177">
                  <c:v>401.2</c:v>
                </c:pt>
                <c:pt idx="178">
                  <c:v>414.81</c:v>
                </c:pt>
                <c:pt idx="179">
                  <c:v>418.63</c:v>
                </c:pt>
                <c:pt idx="180">
                  <c:v>436.5</c:v>
                </c:pt>
                <c:pt idx="181">
                  <c:v>420.47</c:v>
                </c:pt>
                <c:pt idx="182">
                  <c:v>406.6</c:v>
                </c:pt>
                <c:pt idx="183">
                  <c:v>401.07</c:v>
                </c:pt>
                <c:pt idx="184">
                  <c:v>416.79</c:v>
                </c:pt>
                <c:pt idx="185">
                  <c:v>444.69</c:v>
                </c:pt>
                <c:pt idx="186">
                  <c:v>437.76</c:v>
                </c:pt>
                <c:pt idx="187">
                  <c:v>428.27</c:v>
                </c:pt>
                <c:pt idx="188">
                  <c:v>441.23</c:v>
                </c:pt>
                <c:pt idx="189">
                  <c:v>438.01</c:v>
                </c:pt>
                <c:pt idx="190">
                  <c:v>433.1</c:v>
                </c:pt>
                <c:pt idx="191">
                  <c:v>429.35</c:v>
                </c:pt>
                <c:pt idx="192">
                  <c:v>410.25</c:v>
                </c:pt>
                <c:pt idx="193">
                  <c:v>418.12</c:v>
                </c:pt>
                <c:pt idx="194">
                  <c:v>452.36</c:v>
                </c:pt>
                <c:pt idx="195">
                  <c:v>476.47</c:v>
                </c:pt>
                <c:pt idx="196">
                  <c:v>498.32</c:v>
                </c:pt>
                <c:pt idx="197">
                  <c:v>488.57</c:v>
                </c:pt>
                <c:pt idx="198">
                  <c:v>476.41</c:v>
                </c:pt>
                <c:pt idx="199">
                  <c:v>473.18</c:v>
                </c:pt>
                <c:pt idx="200">
                  <c:v>488.27</c:v>
                </c:pt>
                <c:pt idx="201">
                  <c:v>463.37</c:v>
                </c:pt>
                <c:pt idx="202">
                  <c:v>462.63</c:v>
                </c:pt>
                <c:pt idx="203">
                  <c:v>470.17</c:v>
                </c:pt>
                <c:pt idx="204">
                  <c:v>454.53</c:v>
                </c:pt>
                <c:pt idx="205">
                  <c:v>461.31</c:v>
                </c:pt>
                <c:pt idx="206">
                  <c:v>463.21</c:v>
                </c:pt>
                <c:pt idx="207">
                  <c:v>462.37</c:v>
                </c:pt>
                <c:pt idx="208">
                  <c:v>439.65</c:v>
                </c:pt>
                <c:pt idx="209">
                  <c:v>467.19</c:v>
                </c:pt>
                <c:pt idx="210">
                  <c:v>486.67</c:v>
                </c:pt>
                <c:pt idx="211">
                  <c:v>495.78</c:v>
                </c:pt>
                <c:pt idx="212">
                  <c:v>511.36</c:v>
                </c:pt>
                <c:pt idx="213">
                  <c:v>521.30999999999995</c:v>
                </c:pt>
                <c:pt idx="214">
                  <c:v>538.21</c:v>
                </c:pt>
                <c:pt idx="215">
                  <c:v>552.37</c:v>
                </c:pt>
                <c:pt idx="216">
                  <c:v>566.29999999999995</c:v>
                </c:pt>
                <c:pt idx="217">
                  <c:v>574.09</c:v>
                </c:pt>
                <c:pt idx="218">
                  <c:v>593.53</c:v>
                </c:pt>
                <c:pt idx="219">
                  <c:v>616.76</c:v>
                </c:pt>
                <c:pt idx="220">
                  <c:v>630.11</c:v>
                </c:pt>
                <c:pt idx="221">
                  <c:v>587.75</c:v>
                </c:pt>
                <c:pt idx="222">
                  <c:v>626.76</c:v>
                </c:pt>
                <c:pt idx="223">
                  <c:v>652.51</c:v>
                </c:pt>
                <c:pt idx="224">
                  <c:v>683.32</c:v>
                </c:pt>
                <c:pt idx="225">
                  <c:v>685.89</c:v>
                </c:pt>
                <c:pt idx="226">
                  <c:v>687.22</c:v>
                </c:pt>
                <c:pt idx="227">
                  <c:v>742.29</c:v>
                </c:pt>
                <c:pt idx="228">
                  <c:v>774.27</c:v>
                </c:pt>
                <c:pt idx="229">
                  <c:v>765.66</c:v>
                </c:pt>
                <c:pt idx="230">
                  <c:v>780.41</c:v>
                </c:pt>
                <c:pt idx="231">
                  <c:v>785.31</c:v>
                </c:pt>
                <c:pt idx="232">
                  <c:v>776.32</c:v>
                </c:pt>
                <c:pt idx="233">
                  <c:v>794.69</c:v>
                </c:pt>
                <c:pt idx="234">
                  <c:v>834.15</c:v>
                </c:pt>
                <c:pt idx="235">
                  <c:v>860.31</c:v>
                </c:pt>
                <c:pt idx="236">
                  <c:v>860.55</c:v>
                </c:pt>
                <c:pt idx="237">
                  <c:v>841.16</c:v>
                </c:pt>
                <c:pt idx="238">
                  <c:v>871.55</c:v>
                </c:pt>
                <c:pt idx="239">
                  <c:v>904.97</c:v>
                </c:pt>
                <c:pt idx="240">
                  <c:v>892.91</c:v>
                </c:pt>
                <c:pt idx="241">
                  <c:v>899.61</c:v>
                </c:pt>
                <c:pt idx="242">
                  <c:v>901.43</c:v>
                </c:pt>
                <c:pt idx="243">
                  <c:v>905.58</c:v>
                </c:pt>
                <c:pt idx="244">
                  <c:v>934.96</c:v>
                </c:pt>
                <c:pt idx="245">
                  <c:v>966.44</c:v>
                </c:pt>
                <c:pt idx="246">
                  <c:v>974.95</c:v>
                </c:pt>
                <c:pt idx="247">
                  <c:v>964.14</c:v>
                </c:pt>
                <c:pt idx="248">
                  <c:v>948.61</c:v>
                </c:pt>
                <c:pt idx="249">
                  <c:v>983.4</c:v>
                </c:pt>
                <c:pt idx="250" formatCode="#,##0.00">
                  <c:v>1027.74</c:v>
                </c:pt>
                <c:pt idx="251" formatCode="#,##0.00">
                  <c:v>1037.9100000000001</c:v>
                </c:pt>
                <c:pt idx="252" formatCode="#,##0.00">
                  <c:v>1029.8800000000001</c:v>
                </c:pt>
                <c:pt idx="253" formatCode="#,##0.00">
                  <c:v>1039.74</c:v>
                </c:pt>
                <c:pt idx="254">
                  <c:v>993.23</c:v>
                </c:pt>
                <c:pt idx="255" formatCode="#,##0.00">
                  <c:v>1003.19</c:v>
                </c:pt>
                <c:pt idx="256">
                  <c:v>972.01</c:v>
                </c:pt>
                <c:pt idx="257">
                  <c:v>990.61</c:v>
                </c:pt>
                <c:pt idx="258">
                  <c:v>999.52</c:v>
                </c:pt>
                <c:pt idx="259">
                  <c:v>958.47</c:v>
                </c:pt>
                <c:pt idx="260">
                  <c:v>992.18</c:v>
                </c:pt>
                <c:pt idx="261" formatCode="#,##0.00">
                  <c:v>1019.05</c:v>
                </c:pt>
                <c:pt idx="262" formatCode="#,##0.00">
                  <c:v>1037.76</c:v>
                </c:pt>
                <c:pt idx="263" formatCode="#,##0.00">
                  <c:v>1069.1500000000001</c:v>
                </c:pt>
                <c:pt idx="264" formatCode="#,##0.00">
                  <c:v>1097.76</c:v>
                </c:pt>
                <c:pt idx="265" formatCode="#,##0.00">
                  <c:v>1126.1099999999999</c:v>
                </c:pt>
                <c:pt idx="266" formatCode="#,##0.00">
                  <c:v>1176.22</c:v>
                </c:pt>
                <c:pt idx="267" formatCode="#,##0.00">
                  <c:v>1228.24</c:v>
                </c:pt>
                <c:pt idx="268" formatCode="#,##0.00">
                  <c:v>1243.27</c:v>
                </c:pt>
                <c:pt idx="269" formatCode="#,##0.00">
                  <c:v>1298.68</c:v>
                </c:pt>
                <c:pt idx="270" formatCode="#,##0.00">
                  <c:v>1329.78</c:v>
                </c:pt>
                <c:pt idx="271" formatCode="#,##0.00">
                  <c:v>1366.21</c:v>
                </c:pt>
                <c:pt idx="272" formatCode="#,##0.00">
                  <c:v>1403.24</c:v>
                </c:pt>
                <c:pt idx="273" formatCode="#,##0.00">
                  <c:v>1463.61</c:v>
                </c:pt>
                <c:pt idx="274" formatCode="#,##0.00">
                  <c:v>1536.11</c:v>
                </c:pt>
                <c:pt idx="275" formatCode="#,##0.00">
                  <c:v>1569.42</c:v>
                </c:pt>
                <c:pt idx="276" formatCode="#,##0.00">
                  <c:v>1627.56</c:v>
                </c:pt>
                <c:pt idx="277" formatCode="#,##0.00">
                  <c:v>1620.46</c:v>
                </c:pt>
                <c:pt idx="278" formatCode="#,##0.00">
                  <c:v>1682.17</c:v>
                </c:pt>
                <c:pt idx="279" formatCode="#,##0.00">
                  <c:v>1680.85</c:v>
                </c:pt>
                <c:pt idx="280" formatCode="#,##0.00">
                  <c:v>1784.14</c:v>
                </c:pt>
                <c:pt idx="281" formatCode="#,##0.00">
                  <c:v>1920.52</c:v>
                </c:pt>
                <c:pt idx="282" formatCode="#,##0.00">
                  <c:v>1914.77</c:v>
                </c:pt>
                <c:pt idx="283" formatCode="#,##0.00">
                  <c:v>2006.99</c:v>
                </c:pt>
                <c:pt idx="284" formatCode="#,##0.00">
                  <c:v>1912.17</c:v>
                </c:pt>
                <c:pt idx="285" formatCode="#,##0.00">
                  <c:v>2047.28</c:v>
                </c:pt>
                <c:pt idx="286" formatCode="#,##0.00">
                  <c:v>2072.61</c:v>
                </c:pt>
                <c:pt idx="287" formatCode="#,##0.00">
                  <c:v>2023.12</c:v>
                </c:pt>
                <c:pt idx="288" formatCode="#,##0.00">
                  <c:v>2042.33</c:v>
                </c:pt>
                <c:pt idx="289" formatCode="#,##0.00">
                  <c:v>2189.5</c:v>
                </c:pt>
                <c:pt idx="290" formatCode="#,##0.00">
                  <c:v>2221.9699999999998</c:v>
                </c:pt>
                <c:pt idx="291" formatCode="#,##0.00">
                  <c:v>2158.9</c:v>
                </c:pt>
                <c:pt idx="292" formatCode="#,##0.00">
                  <c:v>2153.2399999999998</c:v>
                </c:pt>
                <c:pt idx="293" formatCode="#,##0.00">
                  <c:v>2277.0300000000002</c:v>
                </c:pt>
                <c:pt idx="294" formatCode="#,##0.00">
                  <c:v>2270.54</c:v>
                </c:pt>
                <c:pt idx="295" formatCode="#,##0.00">
                  <c:v>2200.41</c:v>
                </c:pt>
                <c:pt idx="296" formatCode="#,##0.00">
                  <c:v>2179.4299999999998</c:v>
                </c:pt>
                <c:pt idx="297" formatCode="#,##0.00">
                  <c:v>2163.9</c:v>
                </c:pt>
                <c:pt idx="298" formatCode="#,##0.00">
                  <c:v>2203.04</c:v>
                </c:pt>
                <c:pt idx="299" formatCode="#,##0.00">
                  <c:v>2162.0100000000002</c:v>
                </c:pt>
                <c:pt idx="300" formatCode="#,##0.00">
                  <c:v>2075.62</c:v>
                </c:pt>
                <c:pt idx="301" formatCode="#,##0.00">
                  <c:v>2109.2600000000002</c:v>
                </c:pt>
                <c:pt idx="302" formatCode="#,##0.00">
                  <c:v>2165.0300000000002</c:v>
                </c:pt>
                <c:pt idx="303" formatCode="#,##0.00">
                  <c:v>2255.1</c:v>
                </c:pt>
                <c:pt idx="304" formatCode="#,##0.00">
                  <c:v>2299.16</c:v>
                </c:pt>
                <c:pt idx="305" formatCode="#,##0.00">
                  <c:v>2352.5500000000002</c:v>
                </c:pt>
                <c:pt idx="306" formatCode="#,##0.00">
                  <c:v>2230.1</c:v>
                </c:pt>
                <c:pt idx="307" formatCode="#,##0.00">
                  <c:v>2146.71</c:v>
                </c:pt>
                <c:pt idx="308" formatCode="#,##0.00">
                  <c:v>2020.12</c:v>
                </c:pt>
                <c:pt idx="309" formatCode="#,##0.00">
                  <c:v>1983.75</c:v>
                </c:pt>
                <c:pt idx="310" formatCode="#,##0.00">
                  <c:v>1990.06</c:v>
                </c:pt>
                <c:pt idx="311" formatCode="#,##0.00">
                  <c:v>2036.4</c:v>
                </c:pt>
                <c:pt idx="312" formatCode="#,##0.00">
                  <c:v>2050.6999999999998</c:v>
                </c:pt>
                <c:pt idx="313" formatCode="#,##0.00">
                  <c:v>2100.3000000000002</c:v>
                </c:pt>
                <c:pt idx="314" formatCode="#,##0.00">
                  <c:v>2119.13</c:v>
                </c:pt>
                <c:pt idx="315" formatCode="#,##0.00">
                  <c:v>2194.5300000000002</c:v>
                </c:pt>
                <c:pt idx="316" formatCode="#,##0.00">
                  <c:v>2254.5500000000002</c:v>
                </c:pt>
                <c:pt idx="317" formatCode="#,##0.00">
                  <c:v>2323.7800000000002</c:v>
                </c:pt>
                <c:pt idx="318" formatCode="#,##0.00">
                  <c:v>2418</c:v>
                </c:pt>
                <c:pt idx="319" formatCode="#,##0.00">
                  <c:v>2489.1799999999998</c:v>
                </c:pt>
                <c:pt idx="320" formatCode="#,##0.00">
                  <c:v>2597.6799999999998</c:v>
                </c:pt>
                <c:pt idx="321" formatCode="#,##0.00">
                  <c:v>2684.08</c:v>
                </c:pt>
                <c:pt idx="322" formatCode="#,##0.00">
                  <c:v>2742.13</c:v>
                </c:pt>
                <c:pt idx="323" formatCode="#,##0.00">
                  <c:v>2858.79</c:v>
                </c:pt>
                <c:pt idx="324" formatCode="#,##0.00">
                  <c:v>2822.63</c:v>
                </c:pt>
                <c:pt idx="325" formatCode="#,##0.00">
                  <c:v>2901.84</c:v>
                </c:pt>
                <c:pt idx="326" formatCode="#,##0.00">
                  <c:v>2958.03</c:v>
                </c:pt>
                <c:pt idx="327" formatCode="#,##0.00">
                  <c:v>3010.25</c:v>
                </c:pt>
                <c:pt idx="328" formatCode="#,##0.00">
                  <c:v>2992</c:v>
                </c:pt>
                <c:pt idx="329" formatCode="#,##0.00">
                  <c:v>3118.49</c:v>
                </c:pt>
                <c:pt idx="330" formatCode="#,##0.00">
                  <c:v>3108.56</c:v>
                </c:pt>
                <c:pt idx="331" formatCode="#,##0.00">
                  <c:v>2993.44</c:v>
                </c:pt>
                <c:pt idx="332" formatCode="#,##0.00">
                  <c:v>2998.73</c:v>
                </c:pt>
                <c:pt idx="333" formatCode="#,##0.00">
                  <c:v>3018.8</c:v>
                </c:pt>
                <c:pt idx="334" formatCode="#,##0.00">
                  <c:v>3123.34</c:v>
                </c:pt>
                <c:pt idx="335" formatCode="#,##0.00">
                  <c:v>3076.94</c:v>
                </c:pt>
                <c:pt idx="336" formatCode="#,##0.00">
                  <c:v>2965.88</c:v>
                </c:pt>
                <c:pt idx="337" formatCode="#,##0.00">
                  <c:v>2933.9</c:v>
                </c:pt>
                <c:pt idx="338" formatCode="#,##0.00">
                  <c:v>2980.39</c:v>
                </c:pt>
                <c:pt idx="339" formatCode="#,##0.00">
                  <c:v>2961.77</c:v>
                </c:pt>
                <c:pt idx="340" formatCode="#,##0.00">
                  <c:v>3079.89</c:v>
                </c:pt>
                <c:pt idx="341" formatCode="#,##0.00">
                  <c:v>3012.25</c:v>
                </c:pt>
                <c:pt idx="342" formatCode="#,##0.00">
                  <c:v>3057.16</c:v>
                </c:pt>
                <c:pt idx="343" formatCode="#,##0.00">
                  <c:v>2973.98</c:v>
                </c:pt>
                <c:pt idx="344" formatCode="#,##0.00">
                  <c:v>2924.2</c:v>
                </c:pt>
                <c:pt idx="345" formatCode="#,##0.00">
                  <c:v>3027.74</c:v>
                </c:pt>
                <c:pt idx="346" formatCode="#,##0.00">
                  <c:v>3109.21</c:v>
                </c:pt>
                <c:pt idx="347" formatCode="#,##0.00">
                  <c:v>3277.94</c:v>
                </c:pt>
                <c:pt idx="348" formatCode="#,##0.00">
                  <c:v>3421.32</c:v>
                </c:pt>
                <c:pt idx="349" formatCode="#,##0.00">
                  <c:v>3537.55</c:v>
                </c:pt>
                <c:pt idx="350" formatCode="#,##0.00">
                  <c:v>3640.81</c:v>
                </c:pt>
                <c:pt idx="351" formatCode="#,##0.00">
                  <c:v>3686.8</c:v>
                </c:pt>
                <c:pt idx="352" formatCode="#,##0.00">
                  <c:v>3646.98</c:v>
                </c:pt>
                <c:pt idx="353" formatCode="#,##0.00">
                  <c:v>3645.96</c:v>
                </c:pt>
                <c:pt idx="354" formatCode="#,##0.00">
                  <c:v>3785.93</c:v>
                </c:pt>
                <c:pt idx="355" formatCode="#,##0.00">
                  <c:v>3765.42</c:v>
                </c:pt>
                <c:pt idx="356" formatCode="#,##0.00">
                  <c:v>3815.99</c:v>
                </c:pt>
                <c:pt idx="357" formatCode="#,##0.00">
                  <c:v>3998.09</c:v>
                </c:pt>
                <c:pt idx="358" formatCode="#,##0.00">
                  <c:v>4044.59</c:v>
                </c:pt>
                <c:pt idx="359" formatCode="#,##0.00">
                  <c:v>3903.55</c:v>
                </c:pt>
                <c:pt idx="360" formatCode="#,##0.00">
                  <c:v>3978.09</c:v>
                </c:pt>
                <c:pt idx="361" formatCode="#,##0.00">
                  <c:v>3991.65</c:v>
                </c:pt>
                <c:pt idx="362" formatCode="#,##0.00">
                  <c:v>3874.1</c:v>
                </c:pt>
                <c:pt idx="363" formatCode="#,##0.00">
                  <c:v>3595.74</c:v>
                </c:pt>
                <c:pt idx="364" formatCode="#,##0.00">
                  <c:v>3185.37</c:v>
                </c:pt>
                <c:pt idx="365" formatCode="#,##0.00">
                  <c:v>3271.93</c:v>
                </c:pt>
                <c:pt idx="366" formatCode="#,##0.00">
                  <c:v>3370.84</c:v>
                </c:pt>
                <c:pt idx="367" formatCode="#,##0.00">
                  <c:v>3350.84</c:v>
                </c:pt>
                <c:pt idx="368" formatCode="#,##0.00">
                  <c:v>3255.13</c:v>
                </c:pt>
                <c:pt idx="369" formatCode="#,##0.00">
                  <c:v>3489.53</c:v>
                </c:pt>
                <c:pt idx="370" formatCode="#,##0.00">
                  <c:v>3650.87</c:v>
                </c:pt>
                <c:pt idx="371" formatCode="#,##0.00">
                  <c:v>3802.26</c:v>
                </c:pt>
              </c:numCache>
            </c:numRef>
          </c:val>
          <c:smooth val="0"/>
          <c:extLst>
            <c:ext xmlns:c16="http://schemas.microsoft.com/office/drawing/2014/chart" uri="{C3380CC4-5D6E-409C-BE32-E72D297353CC}">
              <c16:uniqueId val="{00000000-F950-4C29-9A5E-F1B41CD1DE07}"/>
            </c:ext>
          </c:extLst>
        </c:ser>
        <c:dLbls>
          <c:showLegendKey val="0"/>
          <c:showVal val="0"/>
          <c:showCatName val="0"/>
          <c:showSerName val="0"/>
          <c:showPercent val="0"/>
          <c:showBubbleSize val="0"/>
        </c:dLbls>
        <c:smooth val="0"/>
        <c:axId val="663223791"/>
        <c:axId val="663226671"/>
      </c:lineChart>
      <c:catAx>
        <c:axId val="6632237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226671"/>
        <c:crosses val="autoZero"/>
        <c:auto val="1"/>
        <c:lblAlgn val="ctr"/>
        <c:lblOffset val="100"/>
        <c:noMultiLvlLbl val="0"/>
      </c:catAx>
      <c:valAx>
        <c:axId val="663226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Price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2237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2C749-6BB8-48FA-9B8F-29C9859384BC}">
  <ds:schemaRefs>
    <ds:schemaRef ds:uri="http://schemas.openxmlformats.org/officeDocument/2006/bibliography"/>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2142</TotalTime>
  <Pages>9</Pages>
  <Words>2298</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Ciccotosto-Camp</dc:creator>
  <cp:keywords/>
  <dc:description/>
  <cp:lastModifiedBy>Daniel Ciccotosto-Camp</cp:lastModifiedBy>
  <cp:revision>11</cp:revision>
  <cp:lastPrinted>2024-10-06T04:47:00Z</cp:lastPrinted>
  <dcterms:created xsi:type="dcterms:W3CDTF">2024-09-29T12:19:00Z</dcterms:created>
  <dcterms:modified xsi:type="dcterms:W3CDTF">2024-10-06T04:50:00Z</dcterms:modified>
</cp:coreProperties>
</file>