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159EA" w14:textId="77777777" w:rsidR="00431D7E" w:rsidRPr="00431D7E" w:rsidRDefault="00431D7E" w:rsidP="00431D7E">
      <w:pPr>
        <w:pStyle w:val="Titre1"/>
        <w:rPr>
          <w:lang w:val="en-US"/>
        </w:rPr>
      </w:pPr>
      <w:r w:rsidRPr="00431D7E">
        <w:rPr>
          <w:lang w:val="en-US"/>
        </w:rPr>
        <w:t>Dyadic Phase Transport in Semiprime Integers</w:t>
      </w:r>
    </w:p>
    <w:p w14:paraId="11436145" w14:textId="77777777" w:rsidR="00431D7E" w:rsidRPr="00431D7E" w:rsidRDefault="00431D7E" w:rsidP="00431D7E">
      <w:pPr>
        <w:pStyle w:val="Titre2"/>
        <w:rPr>
          <w:lang w:val="en-US"/>
        </w:rPr>
      </w:pPr>
      <w:r w:rsidRPr="00431D7E">
        <w:rPr>
          <w:lang w:val="en-US"/>
        </w:rPr>
        <w:t>1. Dataset and scope</w:t>
      </w:r>
    </w:p>
    <w:p w14:paraId="60F73FD3" w14:textId="104BF881" w:rsidR="00431D7E" w:rsidRDefault="00431D7E" w:rsidP="00431D7E">
      <w:pPr>
        <w:rPr>
          <w:lang w:val="en-US"/>
        </w:rPr>
      </w:pPr>
      <w:r w:rsidRPr="00431D7E">
        <w:rPr>
          <w:lang w:val="en-US"/>
        </w:rPr>
        <w:t xml:space="preserve">We analyze a dataset of </w:t>
      </w:r>
      <w:r w:rsidRPr="00431D7E">
        <w:rPr>
          <w:b/>
          <w:bCs/>
          <w:lang w:val="en-US"/>
        </w:rPr>
        <w:t>500,000 semiprime integers</w:t>
      </w:r>
      <w:r w:rsidRPr="00431D7E">
        <w:rPr>
          <w:lang w:val="en-US"/>
        </w:rPr>
        <w:t xml:space="preserve">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pq</m:t>
        </m:r>
      </m:oMath>
      <w:r w:rsidRPr="00431D7E">
        <w:rPr>
          <w:lang w:val="en-US"/>
        </w:rPr>
        <w:t xml:space="preserve">, restricted to the </w:t>
      </w:r>
      <w:r w:rsidRPr="00431D7E">
        <w:rPr>
          <w:b/>
          <w:bCs/>
          <w:lang w:val="en-US"/>
        </w:rPr>
        <w:t>64-bit regime</w:t>
      </w:r>
      <w:r w:rsidRPr="00431D7E">
        <w:rPr>
          <w:lang w:val="en-US"/>
        </w:rPr>
        <w:t xml:space="preserve">, where </w:t>
      </w:r>
      <m:oMath>
        <m:r>
          <w:rPr>
            <w:rFonts w:ascii="Cambria Math" w:hAnsi="Cambria Math"/>
          </w:rPr>
          <m:t>p</m:t>
        </m:r>
      </m:oMath>
      <w:r w:rsidR="00B5740C" w:rsidRPr="00B5740C">
        <w:rPr>
          <w:rFonts w:eastAsiaTheme="minorEastAsia"/>
          <w:lang w:val="en-US"/>
        </w:rPr>
        <w:t xml:space="preserve"> </w:t>
      </w:r>
      <w:r w:rsidRPr="00431D7E">
        <w:rPr>
          <w:lang w:val="en-US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="00B5740C" w:rsidRPr="00B5740C">
        <w:rPr>
          <w:rFonts w:eastAsiaTheme="minorEastAsia"/>
          <w:lang w:val="en-US"/>
        </w:rPr>
        <w:t xml:space="preserve"> </w:t>
      </w:r>
      <w:r w:rsidRPr="00431D7E">
        <w:rPr>
          <w:lang w:val="en-US"/>
        </w:rPr>
        <w:t>are prime factors</w:t>
      </w:r>
      <w:r w:rsidR="00B5740C">
        <w:rPr>
          <w:lang w:val="en-US"/>
        </w:rPr>
        <w:t>, started with this conceptual's representation show bellow</w:t>
      </w:r>
      <w:r w:rsidRPr="00431D7E">
        <w:rPr>
          <w:lang w:val="en-US"/>
        </w:rPr>
        <w:t>.</w:t>
      </w:r>
    </w:p>
    <w:p w14:paraId="6E8C42F7" w14:textId="642860AD" w:rsidR="0042235C" w:rsidRPr="00431D7E" w:rsidRDefault="00B5740C" w:rsidP="00B5740C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BEF0E40" wp14:editId="4B9ABC85">
            <wp:extent cx="4419600" cy="4789859"/>
            <wp:effectExtent l="0" t="0" r="0" b="0"/>
            <wp:docPr id="1000142412" name="Image 5" descr="Une image contenant diagramme, cercle, texte, car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2412" name="Image 5" descr="Une image contenant diagramme, cercle, texte, car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3212" cy="4793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85E7E" w14:textId="20D488A3" w:rsidR="00431D7E" w:rsidRPr="00431D7E" w:rsidRDefault="00431D7E" w:rsidP="00431D7E">
      <w:pPr>
        <w:rPr>
          <w:lang w:val="en-US"/>
        </w:rPr>
      </w:pPr>
      <w:r w:rsidRPr="00431D7E">
        <w:rPr>
          <w:lang w:val="en-US"/>
        </w:rPr>
        <w:t xml:space="preserve">For each triplet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  <m:e>
            <m:r>
              <w:rPr>
                <w:rFonts w:ascii="Cambria Math" w:hAnsi="Cambria Math"/>
              </w:rPr>
              <m:t>p</m:t>
            </m:r>
          </m:e>
          <m:e>
            <m:r>
              <w:rPr>
                <w:rFonts w:ascii="Cambria Math" w:hAnsi="Cambria Math"/>
              </w:rPr>
              <m:t>q</m:t>
            </m:r>
          </m:e>
        </m:d>
      </m:oMath>
      <w:r w:rsidRPr="00431D7E">
        <w:rPr>
          <w:lang w:val="en-US"/>
        </w:rPr>
        <w:t>, the dataset contains:</w:t>
      </w:r>
    </w:p>
    <w:p w14:paraId="412DBD46" w14:textId="62DCB7E5" w:rsidR="00431D7E" w:rsidRPr="00431D7E" w:rsidRDefault="00431D7E" w:rsidP="00431D7E">
      <w:pPr>
        <w:numPr>
          <w:ilvl w:val="0"/>
          <w:numId w:val="1"/>
        </w:numPr>
        <w:rPr>
          <w:lang w:val="en-US"/>
        </w:rPr>
      </w:pPr>
      <w:r w:rsidRPr="00431D7E">
        <w:rPr>
          <w:lang w:val="en-US"/>
        </w:rPr>
        <w:t xml:space="preserve">the dyadic level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  <w:lang w:val="en-US"/>
          </w:rPr>
          <m:t>=⌊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  <m:r>
              <w:rPr>
                <w:rFonts w:ascii="Cambria Math" w:hAnsi="Cambria Math"/>
                <w:lang w:val="en-US"/>
              </w:rPr>
              <m:t>⁡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⌋</m:t>
        </m:r>
      </m:oMath>
      <w:r w:rsidRPr="00431D7E">
        <w:rPr>
          <w:lang w:val="en-US"/>
        </w:rPr>
        <w:t>,</w:t>
      </w:r>
    </w:p>
    <w:p w14:paraId="12C2F46F" w14:textId="3F1685C3" w:rsidR="00431D7E" w:rsidRPr="00431D7E" w:rsidRDefault="00431D7E" w:rsidP="00431D7E">
      <w:pPr>
        <w:numPr>
          <w:ilvl w:val="0"/>
          <w:numId w:val="1"/>
        </w:numPr>
      </w:pPr>
      <w:r w:rsidRPr="00431D7E">
        <w:t xml:space="preserve">angular quantities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431D7E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sub>
            </m:sSub>
          </m:sub>
        </m:sSub>
      </m:oMath>
      <w:r w:rsidRPr="00431D7E">
        <w:t>,</w:t>
      </w:r>
    </w:p>
    <w:p w14:paraId="5C27FD2C" w14:textId="77777777" w:rsidR="00431D7E" w:rsidRPr="00431D7E" w:rsidRDefault="00431D7E" w:rsidP="00431D7E">
      <w:pPr>
        <w:numPr>
          <w:ilvl w:val="0"/>
          <w:numId w:val="1"/>
        </w:numPr>
        <w:rPr>
          <w:lang w:val="en-US"/>
        </w:rPr>
      </w:pPr>
      <w:r w:rsidRPr="00431D7E">
        <w:rPr>
          <w:lang w:val="en-US"/>
        </w:rPr>
        <w:t>and a normalized intra-dyadic imbalance flag allowing identification of the smaller and larger factor.</w:t>
      </w:r>
    </w:p>
    <w:p w14:paraId="05285954" w14:textId="77777777" w:rsidR="00431D7E" w:rsidRPr="00431D7E" w:rsidRDefault="00431D7E" w:rsidP="00431D7E">
      <w:pPr>
        <w:rPr>
          <w:lang w:val="en-US"/>
        </w:rPr>
      </w:pPr>
      <w:r w:rsidRPr="00431D7E">
        <w:rPr>
          <w:lang w:val="en-US"/>
        </w:rPr>
        <w:t>All arithmetic relations were validated:</w:t>
      </w:r>
    </w:p>
    <w:p w14:paraId="77F7A4E8" w14:textId="4BF5AAEF" w:rsidR="00431D7E" w:rsidRPr="00431D7E" w:rsidRDefault="00431D7E" w:rsidP="00431D7E">
      <w:pPr>
        <w:numPr>
          <w:ilvl w:val="0"/>
          <w:numId w:val="2"/>
        </w:numPr>
        <w:rPr>
          <w:lang w:val="en-US"/>
        </w:rPr>
      </w:pP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pq</m:t>
        </m:r>
      </m:oMath>
      <w:r w:rsidRPr="00431D7E">
        <w:rPr>
          <w:lang w:val="en-US"/>
        </w:rPr>
        <w:t>holds for 100% of entries,</w:t>
      </w:r>
    </w:p>
    <w:p w14:paraId="727E5DBA" w14:textId="77777777" w:rsidR="00431D7E" w:rsidRPr="00431D7E" w:rsidRDefault="00431D7E" w:rsidP="00431D7E">
      <w:pPr>
        <w:numPr>
          <w:ilvl w:val="0"/>
          <w:numId w:val="2"/>
        </w:numPr>
      </w:pPr>
      <w:r w:rsidRPr="00431D7E">
        <w:t>both factors are prime,</w:t>
      </w:r>
    </w:p>
    <w:p w14:paraId="74DE95BD" w14:textId="77777777" w:rsidR="00431D7E" w:rsidRPr="00431D7E" w:rsidRDefault="00431D7E" w:rsidP="00431D7E">
      <w:pPr>
        <w:numPr>
          <w:ilvl w:val="0"/>
          <w:numId w:val="2"/>
        </w:numPr>
        <w:rPr>
          <w:lang w:val="en-US"/>
        </w:rPr>
      </w:pPr>
      <w:r w:rsidRPr="00431D7E">
        <w:rPr>
          <w:lang w:val="en-US"/>
        </w:rPr>
        <w:t>dyadic levels match bit-length definitions exactly.</w:t>
      </w:r>
    </w:p>
    <w:p w14:paraId="1A236687" w14:textId="77777777" w:rsidR="00431D7E" w:rsidRDefault="00431D7E" w:rsidP="00431D7E">
      <w:pPr>
        <w:rPr>
          <w:lang w:val="en-US"/>
        </w:rPr>
      </w:pPr>
      <w:r w:rsidRPr="00431D7E">
        <w:rPr>
          <w:lang w:val="en-US"/>
        </w:rPr>
        <w:t xml:space="preserve">This ensures that all observed effects are </w:t>
      </w:r>
      <w:r w:rsidRPr="00431D7E">
        <w:rPr>
          <w:b/>
          <w:bCs/>
          <w:lang w:val="en-US"/>
        </w:rPr>
        <w:t>structural</w:t>
      </w:r>
      <w:r w:rsidRPr="00431D7E">
        <w:rPr>
          <w:lang w:val="en-US"/>
        </w:rPr>
        <w:t>, not artefacts of corrupted data.</w:t>
      </w:r>
    </w:p>
    <w:p w14:paraId="6B5ED036" w14:textId="77777777" w:rsidR="00D624EC" w:rsidRPr="00431D7E" w:rsidRDefault="00D624EC" w:rsidP="00431D7E">
      <w:pPr>
        <w:rPr>
          <w:lang w:val="en-US"/>
        </w:rPr>
      </w:pPr>
    </w:p>
    <w:p w14:paraId="1E24EDBA" w14:textId="77777777" w:rsidR="00431D7E" w:rsidRPr="00431D7E" w:rsidRDefault="00431D7E" w:rsidP="00D624EC">
      <w:pPr>
        <w:pStyle w:val="Titre2"/>
        <w:rPr>
          <w:lang w:val="en-US"/>
        </w:rPr>
      </w:pPr>
      <w:r w:rsidRPr="00431D7E">
        <w:rPr>
          <w:lang w:val="en-US"/>
        </w:rPr>
        <w:t>2. Phase composition hypothesis</w:t>
      </w:r>
    </w:p>
    <w:p w14:paraId="09C0CCB8" w14:textId="77ABB167" w:rsidR="00431D7E" w:rsidRPr="00431D7E" w:rsidRDefault="00431D7E" w:rsidP="00431D7E">
      <w:pPr>
        <w:rPr>
          <w:lang w:val="en-US"/>
        </w:rPr>
      </w:pPr>
      <w:r w:rsidRPr="00431D7E">
        <w:rPr>
          <w:lang w:val="en-US"/>
        </w:rPr>
        <w:t xml:space="preserve">Let us associate to each integer </w:t>
      </w:r>
      <m:oMath>
        <m:r>
          <w:rPr>
            <w:rFonts w:ascii="Cambria Math" w:hAnsi="Cambria Math"/>
          </w:rPr>
          <m:t>x</m:t>
        </m:r>
      </m:oMath>
      <w:r w:rsidRPr="00431D7E">
        <w:rPr>
          <w:lang w:val="en-US"/>
        </w:rPr>
        <w:t xml:space="preserve">an angular quantity </w:t>
      </w:r>
      <m:oMath>
        <m:d>
          <m:dPr>
            <m:begChr m:val="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r>
              <w:rPr>
                <w:rFonts w:ascii="Cambria Math" w:hAnsi="Cambria Math"/>
                <w:lang w:val="en-US"/>
              </w:rPr>
              <m:t>∈[0,2</m:t>
            </m:r>
            <m:r>
              <w:rPr>
                <w:rFonts w:ascii="Cambria Math" w:hAnsi="Cambria Math"/>
              </w:rPr>
              <m:t>π</m:t>
            </m:r>
          </m:e>
        </m:d>
      </m:oMath>
      <w:r w:rsidRPr="00431D7E">
        <w:rPr>
          <w:lang w:val="en-US"/>
        </w:rPr>
        <w:t xml:space="preserve">, interpreted as a </w:t>
      </w:r>
      <w:r w:rsidRPr="00431D7E">
        <w:rPr>
          <w:i/>
          <w:iCs/>
          <w:lang w:val="en-US"/>
        </w:rPr>
        <w:t>phase coordinate</w:t>
      </w:r>
      <w:r w:rsidRPr="00431D7E">
        <w:rPr>
          <w:lang w:val="en-US"/>
        </w:rPr>
        <w:t xml:space="preserve"> on its dyadic circle.</w:t>
      </w:r>
    </w:p>
    <w:p w14:paraId="447A61A5" w14:textId="77777777" w:rsidR="00431D7E" w:rsidRPr="00431D7E" w:rsidRDefault="00431D7E" w:rsidP="00431D7E">
      <w:pPr>
        <w:rPr>
          <w:lang w:val="en-US"/>
        </w:rPr>
      </w:pPr>
      <w:r w:rsidRPr="00431D7E">
        <w:rPr>
          <w:lang w:val="en-US"/>
        </w:rPr>
        <w:t xml:space="preserve">We test the hypothesis that the phase of a semiprime integer is governed by a </w:t>
      </w:r>
      <w:r w:rsidRPr="00431D7E">
        <w:rPr>
          <w:b/>
          <w:bCs/>
          <w:lang w:val="en-US"/>
        </w:rPr>
        <w:t>composition law</w:t>
      </w:r>
      <w:r w:rsidRPr="00431D7E">
        <w:rPr>
          <w:lang w:val="en-US"/>
        </w:rPr>
        <w:t xml:space="preserve"> of the phases of its prime factors:</w:t>
      </w:r>
    </w:p>
    <w:p w14:paraId="2600D6A0" w14:textId="7B76D9C3" w:rsidR="00431D7E" w:rsidRPr="00431D7E" w:rsidRDefault="00431D7E" w:rsidP="00431D7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wrap</m:t>
              </m:r>
            </m:e>
            <m:sub>
              <m:r>
                <w:rPr>
                  <w:rFonts w:ascii="Cambria Math" w:hAnsi="Cambria Math"/>
                </w:rPr>
                <m:t>2π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0936903F" w14:textId="5ADFBA8D" w:rsidR="00431D7E" w:rsidRPr="00431D7E" w:rsidRDefault="00431D7E" w:rsidP="00431D7E">
      <w:pPr>
        <w:rPr>
          <w:lang w:val="en-US"/>
        </w:rPr>
      </w:pPr>
      <w:r w:rsidRPr="00431D7E">
        <w:rPr>
          <w:lang w:val="en-US"/>
        </w:rPr>
        <w:t xml:space="preserve">This relation is </w:t>
      </w:r>
      <w:r w:rsidRPr="00431D7E">
        <w:rPr>
          <w:b/>
          <w:bCs/>
          <w:lang w:val="en-US"/>
        </w:rPr>
        <w:t>not imposed</w:t>
      </w:r>
      <w:r w:rsidRPr="00431D7E">
        <w:rPr>
          <w:lang w:val="en-US"/>
        </w:rPr>
        <w:t xml:space="preserve"> by construction:</w:t>
      </w:r>
      <w:r w:rsidRPr="00431D7E">
        <w:rPr>
          <w:lang w:val="en-US"/>
        </w:rPr>
        <w:br/>
        <w:t xml:space="preserve">we previously verified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431D7E">
        <w:rPr>
          <w:lang w:val="en-US"/>
        </w:rPr>
        <w:t xml:space="preserve">is neither the trivial fractional logarithmic phase of </w:t>
      </w:r>
      <m:oMath>
        <m:r>
          <w:rPr>
            <w:rFonts w:ascii="Cambria Math" w:hAnsi="Cambria Math"/>
          </w:rPr>
          <m:t>n</m:t>
        </m:r>
      </m:oMath>
      <w:r w:rsidRPr="00431D7E">
        <w:rPr>
          <w:lang w:val="en-US"/>
        </w:rPr>
        <w:t xml:space="preserve">, nor a local geometric angle derived from the direct chord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→</m:t>
        </m:r>
        <m:r>
          <w:rPr>
            <w:rFonts w:ascii="Cambria Math" w:hAnsi="Cambria Math"/>
          </w:rPr>
          <m:t>p</m:t>
        </m:r>
      </m:oMath>
      <w:r w:rsidRPr="00431D7E">
        <w:rPr>
          <w:lang w:val="en-US"/>
        </w:rPr>
        <w:t>.</w:t>
      </w:r>
    </w:p>
    <w:p w14:paraId="0D486561" w14:textId="1E2C57C5" w:rsidR="00431D7E" w:rsidRPr="00431D7E" w:rsidRDefault="00431D7E" w:rsidP="00431D7E"/>
    <w:p w14:paraId="2D65FF53" w14:textId="77777777" w:rsidR="00431D7E" w:rsidRPr="00431D7E" w:rsidRDefault="00431D7E" w:rsidP="00D624EC">
      <w:pPr>
        <w:pStyle w:val="Titre2"/>
        <w:rPr>
          <w:lang w:val="en-US"/>
        </w:rPr>
      </w:pPr>
      <w:r w:rsidRPr="00431D7E">
        <w:rPr>
          <w:lang w:val="en-US"/>
        </w:rPr>
        <w:t>3. Empirical phase alignment</w:t>
      </w:r>
    </w:p>
    <w:p w14:paraId="3D00D8C3" w14:textId="77777777" w:rsidR="00431D7E" w:rsidRPr="00431D7E" w:rsidRDefault="00431D7E" w:rsidP="00431D7E">
      <w:pPr>
        <w:rPr>
          <w:lang w:val="en-US"/>
        </w:rPr>
      </w:pPr>
      <w:r w:rsidRPr="00431D7E">
        <w:rPr>
          <w:lang w:val="en-US"/>
        </w:rPr>
        <w:t>Define the residual phase error:</w:t>
      </w:r>
    </w:p>
    <w:p w14:paraId="648880DD" w14:textId="6A57EEB5" w:rsidR="00431D7E" w:rsidRPr="00431D7E" w:rsidRDefault="00431D7E" w:rsidP="00431D7E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wrap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m:rPr>
              <m:nor/>
            </m:rPr>
            <w:rPr>
              <w:rFonts w:ascii="Cambria Math" w:hAnsi="Cambria Math" w:cs="Cambria Math"/>
              <w:lang w:val="en-US"/>
            </w:rPr>
            <m:t>⁣</m:t>
          </m:r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-(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  <w:lang w:val="en-US"/>
            </w:rPr>
            <m:t>))</m:t>
          </m:r>
          <m:r>
            <w:rPr>
              <w:i/>
              <w:lang w:val="en-US"/>
            </w:rPr>
            <w:br/>
          </m:r>
        </m:oMath>
      </m:oMathPara>
    </w:p>
    <w:p w14:paraId="63C477D3" w14:textId="77777777" w:rsidR="00431D7E" w:rsidRPr="00431D7E" w:rsidRDefault="00431D7E" w:rsidP="00431D7E">
      <w:pPr>
        <w:rPr>
          <w:lang w:val="en-US"/>
        </w:rPr>
      </w:pPr>
      <w:r w:rsidRPr="00431D7E">
        <w:rPr>
          <w:lang w:val="en-US"/>
        </w:rPr>
        <w:t>Over the full dataset, we observe:</w:t>
      </w:r>
    </w:p>
    <w:p w14:paraId="0335B5D1" w14:textId="77777777" w:rsidR="00431D7E" w:rsidRPr="00431D7E" w:rsidRDefault="00431D7E" w:rsidP="00431D7E">
      <w:pPr>
        <w:numPr>
          <w:ilvl w:val="0"/>
          <w:numId w:val="3"/>
        </w:numPr>
      </w:pPr>
      <w:r w:rsidRPr="00431D7E">
        <w:t>mean absolute error:</w:t>
      </w:r>
    </w:p>
    <w:p w14:paraId="3E8CD670" w14:textId="32466296" w:rsidR="00431D7E" w:rsidRPr="00431D7E" w:rsidRDefault="00431D7E" w:rsidP="00431D7E">
      <m:oMathPara>
        <m:oMath>
          <m:r>
            <w:rPr>
              <w:rFonts w:ascii="Cambria Math" w:hAnsi="Cambria Math"/>
            </w:rPr>
            <m:t>⟨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⟩≈0.162</m:t>
          </m:r>
          <m:r>
            <m:rPr>
              <m:nor/>
            </m:rPr>
            <m:t xml:space="preserve"> rad</m:t>
          </m:r>
          <m:r>
            <w:br/>
          </m:r>
        </m:oMath>
      </m:oMathPara>
    </w:p>
    <w:p w14:paraId="3C0B536B" w14:textId="77777777" w:rsidR="00431D7E" w:rsidRPr="00431D7E" w:rsidRDefault="00431D7E" w:rsidP="00431D7E">
      <w:pPr>
        <w:numPr>
          <w:ilvl w:val="0"/>
          <w:numId w:val="3"/>
        </w:numPr>
      </w:pPr>
      <w:r w:rsidRPr="00431D7E">
        <w:t>median absolute error:</w:t>
      </w:r>
    </w:p>
    <w:p w14:paraId="198BFA5A" w14:textId="6A16C5B2" w:rsidR="00431D7E" w:rsidRPr="00431D7E" w:rsidRDefault="00431D7E" w:rsidP="00431D7E">
      <m:oMathPara>
        <m:oMath>
          <m:r>
            <m:rPr>
              <m:sty m:val="p"/>
            </m:rPr>
            <w:rPr>
              <w:rFonts w:ascii="Cambria Math" w:hAnsi="Cambria Math"/>
            </w:rPr>
            <m:t>median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)≈0.124</m:t>
          </m:r>
          <m:r>
            <m:rPr>
              <m:nor/>
            </m:rPr>
            <m:t xml:space="preserve"> rad</m:t>
          </m:r>
          <m:r>
            <w:br/>
          </m:r>
        </m:oMath>
      </m:oMathPara>
    </w:p>
    <w:p w14:paraId="2A10174D" w14:textId="77777777" w:rsidR="00431D7E" w:rsidRPr="00431D7E" w:rsidRDefault="00431D7E" w:rsidP="00431D7E">
      <w:pPr>
        <w:numPr>
          <w:ilvl w:val="0"/>
          <w:numId w:val="3"/>
        </w:numPr>
      </w:pPr>
      <w:r w:rsidRPr="00431D7E">
        <w:t>90th percentile:</w:t>
      </w:r>
    </w:p>
    <w:p w14:paraId="465ABF30" w14:textId="2A37B9B2" w:rsidR="00431D7E" w:rsidRPr="00431D7E" w:rsidRDefault="00431D7E" w:rsidP="00431D7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)≈0.374</m:t>
          </m:r>
          <m:r>
            <m:rPr>
              <m:nor/>
            </m:rPr>
            <m:t xml:space="preserve"> rad</m:t>
          </m:r>
          <m:r>
            <w:br/>
          </m:r>
        </m:oMath>
      </m:oMathPara>
    </w:p>
    <w:p w14:paraId="22656297" w14:textId="77777777" w:rsidR="00431D7E" w:rsidRPr="00431D7E" w:rsidRDefault="00431D7E" w:rsidP="00431D7E">
      <w:pPr>
        <w:rPr>
          <w:lang w:val="en-US"/>
        </w:rPr>
      </w:pPr>
      <w:r w:rsidRPr="00431D7E">
        <w:rPr>
          <w:lang w:val="en-US"/>
        </w:rPr>
        <w:t>The signed residual is centered near zero:</w:t>
      </w:r>
    </w:p>
    <w:p w14:paraId="2683FFA4" w14:textId="0DC067D4" w:rsidR="00431D7E" w:rsidRPr="00431D7E" w:rsidRDefault="00431D7E" w:rsidP="00431D7E">
      <w:pPr>
        <w:rPr>
          <w:lang w:val="en-US"/>
        </w:rPr>
      </w:pPr>
      <m:oMathPara>
        <m:oMath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r>
            <w:rPr>
              <w:rFonts w:ascii="Cambria Math" w:hAnsi="Cambria Math"/>
              <w:lang w:val="en-US"/>
            </w:rPr>
            <m:t>[</m:t>
          </m:r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  <w:lang w:val="en-US"/>
            </w:rPr>
            <m:t>]≈0.014</m:t>
          </m:r>
          <m:r>
            <m:rPr>
              <m:nor/>
            </m:rPr>
            <w:rPr>
              <w:lang w:val="en-US"/>
            </w:rPr>
            <m:t xml:space="preserve"> rad</m:t>
          </m:r>
          <m:r>
            <w:rPr>
              <w:lang w:val="en-US"/>
            </w:rPr>
            <w:br/>
          </m:r>
        </m:oMath>
      </m:oMathPara>
    </w:p>
    <w:p w14:paraId="30F306AD" w14:textId="69236CBF" w:rsidR="00431D7E" w:rsidRDefault="00431D7E" w:rsidP="00431D7E">
      <w:pPr>
        <w:rPr>
          <w:lang w:val="en-US"/>
        </w:rPr>
      </w:pPr>
      <w:r w:rsidRPr="00431D7E">
        <w:rPr>
          <w:lang w:val="en-US"/>
        </w:rPr>
        <w:t xml:space="preserve">This demonstrates a </w:t>
      </w:r>
      <w:r w:rsidRPr="00431D7E">
        <w:rPr>
          <w:b/>
          <w:bCs/>
          <w:lang w:val="en-US"/>
        </w:rPr>
        <w:t>strong phase alignment</w:t>
      </w:r>
      <w:r w:rsidRPr="00431D7E">
        <w:rPr>
          <w:lang w:val="en-US"/>
        </w:rPr>
        <w:t xml:space="preserve"> between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431D7E">
        <w:rPr>
          <w:lang w:val="en-US"/>
        </w:rPr>
        <w:t xml:space="preserve">and the composed phase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 w:rsidRPr="00431D7E">
        <w:rPr>
          <w:lang w:val="en-US"/>
        </w:rPr>
        <w:t>, with no systematic angular bias.</w:t>
      </w:r>
    </w:p>
    <w:p w14:paraId="70D3CFD6" w14:textId="77777777" w:rsidR="00630EB0" w:rsidRDefault="00630EB0" w:rsidP="00431D7E">
      <w:pPr>
        <w:rPr>
          <w:lang w:val="en-US"/>
        </w:rPr>
      </w:pPr>
    </w:p>
    <w:p w14:paraId="12ACA449" w14:textId="0FCDEE98" w:rsidR="00630EB0" w:rsidRPr="00630EB0" w:rsidRDefault="00630EB0" w:rsidP="00630EB0">
      <w:pPr>
        <w:keepNext/>
        <w:rPr>
          <w:i/>
          <w:iCs/>
          <w:lang w:val="en-US"/>
        </w:rPr>
      </w:pPr>
      <w:r>
        <w:rPr>
          <w:noProof/>
        </w:rPr>
        <w:drawing>
          <wp:inline distT="0" distB="0" distL="0" distR="0" wp14:anchorId="7DDE1E67" wp14:editId="1156C4E0">
            <wp:extent cx="4785360" cy="4785360"/>
            <wp:effectExtent l="0" t="0" r="0" b="0"/>
            <wp:docPr id="16026181" name="Image 1" descr="Une image contenant texte, capture d’écran, Tracé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181" name="Image 1" descr="Une image contenant texte, capture d’écran, Tracé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i/>
          <w:iCs/>
          <w:lang w:val="en-US"/>
        </w:rPr>
        <w:t xml:space="preserve">Fig1. </w:t>
      </w:r>
      <w:r w:rsidRPr="00630EB0">
        <w:rPr>
          <w:i/>
          <w:iCs/>
          <w:lang w:val="en-US"/>
        </w:rPr>
        <w:t xml:space="preserve">Phase of </w:t>
      </w:r>
      <w:r w:rsidRPr="00630EB0">
        <w:rPr>
          <w:i/>
          <w:iCs/>
          <w:lang w:val="en-US"/>
        </w:rPr>
        <w:t xml:space="preserve">Phase of semiprime integers versus the composed phase of their prime factors. Each point represents a semiprime </w:t>
      </w:r>
      <w:r w:rsidRPr="00630EB0">
        <w:rPr>
          <w:rFonts w:ascii="Cambria Math" w:hAnsi="Cambria Math" w:cs="Cambria Math"/>
          <w:i/>
          <w:iCs/>
          <w:lang w:val="en-US"/>
        </w:rPr>
        <w:t>𝑛</w:t>
      </w:r>
      <w:r w:rsidRPr="00630EB0">
        <w:rPr>
          <w:i/>
          <w:iCs/>
          <w:lang w:val="en-US"/>
        </w:rPr>
        <w:t>=</w:t>
      </w:r>
      <w:r w:rsidRPr="00630EB0">
        <w:rPr>
          <w:rFonts w:ascii="Cambria Math" w:hAnsi="Cambria Math" w:cs="Cambria Math"/>
          <w:i/>
          <w:iCs/>
          <w:lang w:val="en-US"/>
        </w:rPr>
        <w:t>𝑝𝑞</w:t>
      </w:r>
      <w:r w:rsidRPr="00630EB0">
        <w:rPr>
          <w:i/>
          <w:iCs/>
          <w:lang w:val="en-US"/>
        </w:rPr>
        <w:t>. The horizontal axis shows the composed phase (</w:t>
      </w:r>
      <w:r w:rsidRPr="00630EB0">
        <w:rPr>
          <w:rFonts w:ascii="Cambria Math" w:hAnsi="Cambria Math" w:cs="Cambria Math"/>
          <w:i/>
          <w:iCs/>
          <w:lang w:val="en-US"/>
        </w:rPr>
        <w:t>𝜃𝑝</w:t>
      </w:r>
      <w:r w:rsidRPr="00630EB0">
        <w:rPr>
          <w:i/>
          <w:iCs/>
          <w:lang w:val="en-US"/>
        </w:rPr>
        <w:t>min+</w:t>
      </w:r>
      <w:r w:rsidRPr="00630EB0">
        <w:rPr>
          <w:rFonts w:ascii="Cambria Math" w:hAnsi="Cambria Math" w:cs="Cambria Math"/>
          <w:i/>
          <w:iCs/>
          <w:lang w:val="en-US"/>
        </w:rPr>
        <w:t>𝜃𝑞</w:t>
      </w:r>
      <w:r w:rsidRPr="00630EB0">
        <w:rPr>
          <w:i/>
          <w:iCs/>
          <w:lang w:val="en-US"/>
        </w:rPr>
        <w:t>max)mod</w:t>
      </w:r>
      <w:r w:rsidRPr="00630EB0">
        <w:rPr>
          <w:rFonts w:ascii="Arial" w:hAnsi="Arial" w:cs="Arial"/>
          <w:i/>
          <w:iCs/>
          <w:lang w:val="en-US"/>
        </w:rPr>
        <w:t> </w:t>
      </w:r>
      <w:r w:rsidRPr="00630EB0">
        <w:rPr>
          <w:i/>
          <w:iCs/>
          <w:lang w:val="en-US"/>
        </w:rPr>
        <w:t>2</w:t>
      </w:r>
      <w:r w:rsidRPr="00630EB0">
        <w:rPr>
          <w:rFonts w:ascii="Cambria Math" w:hAnsi="Cambria Math" w:cs="Cambria Math"/>
          <w:i/>
          <w:iCs/>
          <w:lang w:val="en-US"/>
        </w:rPr>
        <w:t>𝜋</w:t>
      </w:r>
      <w:r w:rsidRPr="00630EB0">
        <w:rPr>
          <w:i/>
          <w:iCs/>
          <w:lang w:val="en-US"/>
        </w:rPr>
        <w:t xml:space="preserve">, while the vertical axis shows </w:t>
      </w:r>
      <w:r w:rsidRPr="00630EB0">
        <w:rPr>
          <w:rFonts w:ascii="Cambria Math" w:hAnsi="Cambria Math" w:cs="Cambria Math"/>
          <w:i/>
          <w:iCs/>
          <w:lang w:val="en-US"/>
        </w:rPr>
        <w:t>𝜃𝑛</w:t>
      </w:r>
      <w:r w:rsidRPr="00630EB0">
        <w:rPr>
          <w:i/>
          <w:iCs/>
          <w:lang w:val="en-US"/>
        </w:rPr>
        <w:t>. The clear alignment along the diagonal indicates that the phase of a semiprime is strongly governed by the sum of the phases of its prime factors.</w:t>
      </w:r>
    </w:p>
    <w:p w14:paraId="7653FB5A" w14:textId="262FDC49" w:rsidR="00431D7E" w:rsidRPr="00630EB0" w:rsidRDefault="00431D7E" w:rsidP="00431D7E">
      <w:pPr>
        <w:rPr>
          <w:lang w:val="en-US"/>
        </w:rPr>
      </w:pPr>
    </w:p>
    <w:p w14:paraId="0EDEAA1A" w14:textId="77777777" w:rsidR="00431D7E" w:rsidRPr="00431D7E" w:rsidRDefault="00431D7E" w:rsidP="00D624EC">
      <w:pPr>
        <w:pStyle w:val="Titre2"/>
        <w:rPr>
          <w:lang w:val="en-US"/>
        </w:rPr>
      </w:pPr>
      <w:r w:rsidRPr="00431D7E">
        <w:rPr>
          <w:lang w:val="en-US"/>
        </w:rPr>
        <w:t>4. Dyadic carry bifurcation</w:t>
      </w:r>
    </w:p>
    <w:p w14:paraId="0F306B69" w14:textId="5E6A47AE" w:rsidR="00431D7E" w:rsidRPr="00431D7E" w:rsidRDefault="00431D7E" w:rsidP="00431D7E">
      <w:pPr>
        <w:rPr>
          <w:lang w:val="en-US"/>
        </w:rPr>
      </w:pPr>
      <w:r w:rsidRPr="00431D7E">
        <w:rPr>
          <w:lang w:val="en-US"/>
        </w:rPr>
        <w:t xml:space="preserve">When both prime factors lie in the same dyadic band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k</m:t>
        </m:r>
      </m:oMath>
      <w:r w:rsidRPr="00431D7E">
        <w:rPr>
          <w:lang w:val="en-US"/>
        </w:rPr>
        <w:t>, the product satisfies:</w:t>
      </w:r>
    </w:p>
    <w:p w14:paraId="4F9544F4" w14:textId="52FBBA39" w:rsidR="00431D7E" w:rsidRPr="00431D7E" w:rsidRDefault="00431D7E" w:rsidP="00431D7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n=2k+(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2C832C1E" w14:textId="77777777" w:rsidR="00431D7E" w:rsidRPr="00431D7E" w:rsidRDefault="00431D7E" w:rsidP="00431D7E">
      <w:pPr>
        <w:rPr>
          <w:lang w:val="en-US"/>
        </w:rPr>
      </w:pPr>
      <w:r w:rsidRPr="00431D7E">
        <w:rPr>
          <w:lang w:val="en-US"/>
        </w:rPr>
        <w:t>leading to two possible dyadic levels:</w:t>
      </w:r>
    </w:p>
    <w:p w14:paraId="3F404ED2" w14:textId="2639F9A0" w:rsidR="00431D7E" w:rsidRPr="00431D7E" w:rsidRDefault="00431D7E" w:rsidP="00431D7E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∈{2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en-US"/>
            </w:rPr>
            <m:t>,</m:t>
          </m:r>
          <m:r>
            <m:rPr>
              <m:nor/>
            </m:rPr>
            <w:rPr>
              <w:rFonts w:ascii="Arial" w:hAnsi="Arial" w:cs="Arial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2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en-US"/>
            </w:rPr>
            <m:t>+1}</m:t>
          </m:r>
          <m:r>
            <w:rPr>
              <w:i/>
              <w:lang w:val="en-US"/>
            </w:rPr>
            <w:br/>
          </m:r>
        </m:oMath>
      </m:oMathPara>
    </w:p>
    <w:p w14:paraId="211C928D" w14:textId="77777777" w:rsidR="00431D7E" w:rsidRPr="00431D7E" w:rsidRDefault="00431D7E" w:rsidP="00431D7E">
      <w:pPr>
        <w:rPr>
          <w:lang w:val="en-US"/>
        </w:rPr>
      </w:pPr>
      <w:r w:rsidRPr="00431D7E">
        <w:rPr>
          <w:lang w:val="en-US"/>
        </w:rPr>
        <w:t>Segmenting the dataset accordingly yields:</w:t>
      </w:r>
    </w:p>
    <w:p w14:paraId="602EF0E8" w14:textId="3F6C133B" w:rsidR="00431D7E" w:rsidRPr="00431D7E" w:rsidRDefault="00431D7E" w:rsidP="00431D7E">
      <w:pPr>
        <w:rPr>
          <w:lang w:val="en-US"/>
        </w:rPr>
      </w:pPr>
      <w:r w:rsidRPr="00431D7E">
        <w:rPr>
          <w:lang w:val="en-US"/>
        </w:rPr>
        <w:t xml:space="preserve">| Dyadic case | median </w:t>
      </w:r>
      <m:oMath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  <w:lang w:val="en-US"/>
          </w:rPr>
          <m:t>∣</m:t>
        </m:r>
      </m:oMath>
      <w:r w:rsidRPr="00431D7E">
        <w:rPr>
          <w:lang w:val="en-US"/>
        </w:rPr>
        <w:t xml:space="preserve">| mean </w:t>
      </w:r>
      <m:oMath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  <w:lang w:val="en-US"/>
          </w:rPr>
          <m:t>∣</m:t>
        </m:r>
      </m:oMath>
      <w:r w:rsidRPr="00431D7E">
        <w:rPr>
          <w:lang w:val="en-US"/>
        </w:rPr>
        <w:t>|</w:t>
      </w:r>
      <w:r w:rsidRPr="00431D7E">
        <w:rPr>
          <w:lang w:val="en-US"/>
        </w:rPr>
        <w:br/>
        <w:t>|-----------|------------------|----------------|</w:t>
      </w:r>
      <w:r w:rsidRPr="00431D7E">
        <w:rPr>
          <w:lang w:val="en-US"/>
        </w:rPr>
        <w:br/>
        <w:t xml:space="preserve">|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=2</m:t>
        </m:r>
        <m:r>
          <w:rPr>
            <w:rFonts w:ascii="Cambria Math" w:hAnsi="Cambria Math"/>
          </w:rPr>
          <m:t>k</m:t>
        </m:r>
      </m:oMath>
      <w:r w:rsidRPr="00431D7E">
        <w:rPr>
          <w:lang w:val="en-US"/>
        </w:rPr>
        <w:t>| ~0.218 rad | ~0.228 rad |</w:t>
      </w:r>
      <w:r w:rsidRPr="00431D7E">
        <w:rPr>
          <w:lang w:val="en-US"/>
        </w:rPr>
        <w:br/>
        <w:t xml:space="preserve">|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=2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en-US"/>
          </w:rPr>
          <m:t>+1</m:t>
        </m:r>
      </m:oMath>
      <w:r w:rsidRPr="00431D7E">
        <w:rPr>
          <w:lang w:val="en-US"/>
        </w:rPr>
        <w:t>| ~0.081 rad | ~0.120 rad |</w:t>
      </w:r>
    </w:p>
    <w:p w14:paraId="03DCCB47" w14:textId="2683D1AB" w:rsidR="00431D7E" w:rsidRPr="00431D7E" w:rsidRDefault="00431D7E" w:rsidP="00431D7E">
      <w:pPr>
        <w:rPr>
          <w:lang w:val="en-US"/>
        </w:rPr>
      </w:pPr>
      <w:r w:rsidRPr="00431D7E">
        <w:rPr>
          <w:lang w:val="en-US"/>
        </w:rPr>
        <w:t xml:space="preserve">The </w:t>
      </w:r>
      <w:r w:rsidRPr="00431D7E">
        <w:rPr>
          <w:b/>
          <w:bCs/>
          <w:lang w:val="en-US"/>
        </w:rPr>
        <w:t>carry case</w:t>
      </w:r>
      <w:r w:rsidRPr="00431D7E"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=2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en-US"/>
          </w:rPr>
          <m:t>+1</m:t>
        </m:r>
      </m:oMath>
      <w:r w:rsidRPr="00431D7E">
        <w:rPr>
          <w:lang w:val="en-US"/>
        </w:rPr>
        <w:t xml:space="preserve">exhibits a </w:t>
      </w:r>
      <w:r w:rsidRPr="00431D7E">
        <w:rPr>
          <w:b/>
          <w:bCs/>
          <w:lang w:val="en-US"/>
        </w:rPr>
        <w:t>significantly tighter phase locking</w:t>
      </w:r>
      <w:r w:rsidRPr="00431D7E">
        <w:rPr>
          <w:lang w:val="en-US"/>
        </w:rPr>
        <w:t>.</w:t>
      </w:r>
    </w:p>
    <w:p w14:paraId="486F11D9" w14:textId="77777777" w:rsidR="00431D7E" w:rsidRDefault="00431D7E" w:rsidP="00431D7E">
      <w:pPr>
        <w:rPr>
          <w:lang w:val="en-US"/>
        </w:rPr>
      </w:pPr>
      <w:r w:rsidRPr="00431D7E">
        <w:rPr>
          <w:lang w:val="en-US"/>
        </w:rPr>
        <w:t xml:space="preserve">This establishes that </w:t>
      </w:r>
      <w:r w:rsidRPr="00431D7E">
        <w:rPr>
          <w:b/>
          <w:bCs/>
          <w:lang w:val="en-US"/>
        </w:rPr>
        <w:t>dyadic carry is not a passive arithmetic effect</w:t>
      </w:r>
      <w:r w:rsidRPr="00431D7E">
        <w:rPr>
          <w:lang w:val="en-US"/>
        </w:rPr>
        <w:t>, but directly influences angular transport.</w:t>
      </w:r>
    </w:p>
    <w:p w14:paraId="0D45D182" w14:textId="77777777" w:rsidR="009510EA" w:rsidRDefault="00630EB0" w:rsidP="009510EA">
      <w:pPr>
        <w:keepNext/>
      </w:pPr>
      <w:r>
        <w:rPr>
          <w:noProof/>
        </w:rPr>
        <w:drawing>
          <wp:inline distT="0" distB="0" distL="0" distR="0" wp14:anchorId="63E32E2D" wp14:editId="72F89EE0">
            <wp:extent cx="6120130" cy="3459480"/>
            <wp:effectExtent l="0" t="0" r="0" b="7620"/>
            <wp:docPr id="279287172" name="Image 2" descr="Une image contenant capture d’écran, texte, diagramm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87172" name="Image 2" descr="Une image contenant capture d’écran, texte, diagramme, Trac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4D2C6" w14:textId="412AB343" w:rsidR="00630EB0" w:rsidRPr="009510EA" w:rsidRDefault="009510EA" w:rsidP="009510EA">
      <w:pPr>
        <w:pStyle w:val="Lgende"/>
        <w:rPr>
          <w:lang w:val="en-US"/>
        </w:rPr>
      </w:pPr>
      <w:r w:rsidRPr="009510EA">
        <w:rPr>
          <w:lang w:val="en-US"/>
        </w:rPr>
        <w:t>Fig</w:t>
      </w:r>
      <w:r>
        <w:rPr>
          <w:lang w:val="en-US"/>
        </w:rPr>
        <w:t>2</w:t>
      </w:r>
      <w:r w:rsidRPr="009510EA">
        <w:rPr>
          <w:lang w:val="en-US"/>
        </w:rPr>
        <w:t xml:space="preserve"> Distribution of the signed residual phase error. The histogram shows </w:t>
      </w:r>
      <w:r w:rsidRPr="009A7DDB">
        <w:rPr>
          <w:rFonts w:ascii="Cambria Math" w:hAnsi="Cambria Math" w:cs="Cambria Math"/>
        </w:rPr>
        <w:t>𝛿</w:t>
      </w:r>
      <w:r w:rsidRPr="009510EA">
        <w:rPr>
          <w:lang w:val="en-US"/>
        </w:rPr>
        <w:t>=wrap(</w:t>
      </w:r>
      <w:r w:rsidRPr="009A7DDB">
        <w:rPr>
          <w:rFonts w:ascii="Cambria Math" w:hAnsi="Cambria Math" w:cs="Cambria Math"/>
        </w:rPr>
        <w:t>𝜃𝑛</w:t>
      </w:r>
      <w:r w:rsidRPr="009510EA">
        <w:rPr>
          <w:lang w:val="en-US"/>
        </w:rPr>
        <w:t>−(</w:t>
      </w:r>
      <w:r w:rsidRPr="009A7DDB">
        <w:rPr>
          <w:rFonts w:ascii="Cambria Math" w:hAnsi="Cambria Math" w:cs="Cambria Math"/>
        </w:rPr>
        <w:t>𝜃𝑝</w:t>
      </w:r>
      <w:r w:rsidRPr="009510EA">
        <w:rPr>
          <w:lang w:val="en-US"/>
        </w:rPr>
        <w:t>min+</w:t>
      </w:r>
      <w:r w:rsidRPr="009A7DDB">
        <w:rPr>
          <w:rFonts w:ascii="Cambria Math" w:hAnsi="Cambria Math" w:cs="Cambria Math"/>
        </w:rPr>
        <w:t>𝜃𝑞</w:t>
      </w:r>
      <w:r w:rsidRPr="009510EA">
        <w:rPr>
          <w:lang w:val="en-US"/>
        </w:rPr>
        <w:t>max)). The distribution is centered near zero with finite dispersion, indicating unbiased but non-exact phase transport from the factors to the semiprime.</w:t>
      </w:r>
    </w:p>
    <w:p w14:paraId="78E27097" w14:textId="77777777" w:rsidR="009510EA" w:rsidRDefault="00630EB0" w:rsidP="009510EA">
      <w:pPr>
        <w:keepNext/>
      </w:pPr>
      <w:r>
        <w:rPr>
          <w:noProof/>
        </w:rPr>
        <w:drawing>
          <wp:inline distT="0" distB="0" distL="0" distR="0" wp14:anchorId="0CB87C4C" wp14:editId="2D196010">
            <wp:extent cx="5394960" cy="3566160"/>
            <wp:effectExtent l="0" t="0" r="0" b="0"/>
            <wp:docPr id="332381956" name="Image 3" descr="Une image contenant texte, diagramme, ligne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81956" name="Image 3" descr="Une image contenant texte, diagramme, ligne, Parallèl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C8E5E" w14:textId="4FAD3242" w:rsidR="00431D7E" w:rsidRPr="009510EA" w:rsidRDefault="009510EA" w:rsidP="009510EA">
      <w:pPr>
        <w:pStyle w:val="Lgende"/>
        <w:rPr>
          <w:lang w:val="en-US"/>
        </w:rPr>
      </w:pPr>
      <w:r w:rsidRPr="009510EA">
        <w:rPr>
          <w:lang w:val="en-US"/>
        </w:rPr>
        <w:t>Fig</w:t>
      </w:r>
      <w:r>
        <w:rPr>
          <w:lang w:val="en-US"/>
        </w:rPr>
        <w:t>3</w:t>
      </w:r>
      <w:r w:rsidRPr="009510EA">
        <w:rPr>
          <w:lang w:val="en-US"/>
        </w:rPr>
        <w:t xml:space="preserve"> Effect of dyadic carry on phase locking. Boxplots of the absolute residual </w:t>
      </w:r>
      <w:r w:rsidRPr="009510EA">
        <w:rPr>
          <w:rFonts w:ascii="Cambria Math" w:hAnsi="Cambria Math" w:cs="Cambria Math"/>
          <w:lang w:val="en-US"/>
        </w:rPr>
        <w:t>∣</w:t>
      </w:r>
      <w:r w:rsidRPr="000F4E39">
        <w:rPr>
          <w:rFonts w:ascii="Cambria Math" w:hAnsi="Cambria Math" w:cs="Cambria Math"/>
        </w:rPr>
        <w:t>𝛿</w:t>
      </w:r>
      <w:r w:rsidRPr="009510EA">
        <w:rPr>
          <w:rFonts w:ascii="Cambria Math" w:hAnsi="Cambria Math" w:cs="Cambria Math"/>
          <w:lang w:val="en-US"/>
        </w:rPr>
        <w:t>∣</w:t>
      </w:r>
      <w:r w:rsidRPr="009510EA">
        <w:rPr>
          <w:lang w:val="en-US"/>
        </w:rPr>
        <w:t xml:space="preserve"> are shown for two dyadic cases: </w:t>
      </w:r>
      <w:r w:rsidRPr="000F4E39">
        <w:rPr>
          <w:rFonts w:ascii="Cambria Math" w:hAnsi="Cambria Math" w:cs="Cambria Math"/>
        </w:rPr>
        <w:t>𝑘𝑛</w:t>
      </w:r>
      <w:r w:rsidRPr="009510EA">
        <w:rPr>
          <w:lang w:val="en-US"/>
        </w:rPr>
        <w:t>=2</w:t>
      </w:r>
      <w:r w:rsidRPr="000F4E39">
        <w:rPr>
          <w:rFonts w:ascii="Cambria Math" w:hAnsi="Cambria Math" w:cs="Cambria Math"/>
        </w:rPr>
        <w:t>𝑘𝑝</w:t>
      </w:r>
      <w:r w:rsidRPr="009510EA">
        <w:rPr>
          <w:lang w:val="en-US"/>
        </w:rPr>
        <w:t xml:space="preserve">  (no carry) and </w:t>
      </w:r>
      <w:r w:rsidRPr="000F4E39">
        <w:rPr>
          <w:rFonts w:ascii="Cambria Math" w:hAnsi="Cambria Math" w:cs="Cambria Math"/>
        </w:rPr>
        <w:t>𝑘𝑛</w:t>
      </w:r>
      <w:r w:rsidRPr="009510EA">
        <w:rPr>
          <w:lang w:val="en-US"/>
        </w:rPr>
        <w:t>=2</w:t>
      </w:r>
      <w:r w:rsidRPr="000F4E39">
        <w:rPr>
          <w:rFonts w:ascii="Cambria Math" w:hAnsi="Cambria Math" w:cs="Cambria Math"/>
        </w:rPr>
        <w:t>𝑘𝑝</w:t>
      </w:r>
      <w:r w:rsidRPr="009510EA">
        <w:rPr>
          <w:lang w:val="en-US"/>
        </w:rPr>
        <w:t>+1 (carry). The carry case exhibits significantly tighter phase alignment, demonstrating that dyadic sca</w:t>
      </w:r>
    </w:p>
    <w:p w14:paraId="44BE9280" w14:textId="77777777" w:rsidR="00431D7E" w:rsidRPr="00431D7E" w:rsidRDefault="00431D7E" w:rsidP="00D624EC">
      <w:pPr>
        <w:pStyle w:val="Titre2"/>
        <w:rPr>
          <w:lang w:val="en-US"/>
        </w:rPr>
      </w:pPr>
      <w:r w:rsidRPr="00431D7E">
        <w:rPr>
          <w:lang w:val="en-US"/>
        </w:rPr>
        <w:t>5. Dependence on factor imbalance</w:t>
      </w:r>
    </w:p>
    <w:p w14:paraId="5E0716FC" w14:textId="77777777" w:rsidR="00431D7E" w:rsidRPr="00431D7E" w:rsidRDefault="00431D7E" w:rsidP="00431D7E">
      <w:pPr>
        <w:rPr>
          <w:lang w:val="en-US"/>
        </w:rPr>
      </w:pPr>
      <w:r w:rsidRPr="00431D7E">
        <w:rPr>
          <w:lang w:val="en-US"/>
        </w:rPr>
        <w:t>Define the intra-dyadic imbalance:</w:t>
      </w:r>
    </w:p>
    <w:p w14:paraId="51099D42" w14:textId="1A6FDCFF" w:rsidR="00431D7E" w:rsidRPr="00431D7E" w:rsidRDefault="00431D7E" w:rsidP="00431D7E">
      <w:pPr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∣</m:t>
          </m:r>
          <m:r>
            <m:rPr>
              <m:nor/>
            </m:rPr>
            <w:rPr>
              <w:lang w:val="en-US"/>
            </w:rPr>
            <m:t>with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log</m:t>
              </m:r>
              <m:r>
                <w:rPr>
                  <w:rFonts w:ascii="Cambria Math" w:hAnsi="Cambria Math"/>
                  <w:lang w:val="en-US"/>
                </w:rPr>
                <m:t>⁡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-⌊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log</m:t>
              </m:r>
              <m:r>
                <w:rPr>
                  <w:rFonts w:ascii="Cambria Math" w:hAnsi="Cambria Math"/>
                  <w:lang w:val="en-US"/>
                </w:rPr>
                <m:t>⁡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⌋</m:t>
          </m:r>
          <m:r>
            <w:rPr>
              <w:i/>
              <w:lang w:val="en-US"/>
            </w:rPr>
            <w:br/>
          </m:r>
        </m:oMath>
      </m:oMathPara>
    </w:p>
    <w:p w14:paraId="78E2D366" w14:textId="77777777" w:rsidR="00431D7E" w:rsidRPr="00431D7E" w:rsidRDefault="00431D7E" w:rsidP="00431D7E">
      <w:pPr>
        <w:rPr>
          <w:lang w:val="en-US"/>
        </w:rPr>
      </w:pPr>
      <w:r w:rsidRPr="00431D7E">
        <w:rPr>
          <w:lang w:val="en-US"/>
        </w:rPr>
        <w:t>We observe a strong monotonic relationship between phase error and imbalance:</w:t>
      </w:r>
    </w:p>
    <w:p w14:paraId="30D4FBDF" w14:textId="77777777" w:rsidR="00431D7E" w:rsidRPr="00431D7E" w:rsidRDefault="00431D7E" w:rsidP="00431D7E">
      <w:pPr>
        <w:numPr>
          <w:ilvl w:val="0"/>
          <w:numId w:val="4"/>
        </w:numPr>
      </w:pPr>
      <w:r w:rsidRPr="00431D7E">
        <w:t>Pearson correlation:</w:t>
      </w:r>
    </w:p>
    <w:p w14:paraId="75CF71C0" w14:textId="7CA52EA6" w:rsidR="00431D7E" w:rsidRPr="00431D7E" w:rsidRDefault="00431D7E" w:rsidP="00431D7E">
      <m:oMathPara>
        <m:oMath>
          <m:r>
            <m:rPr>
              <m:sty m:val="p"/>
            </m:rPr>
            <w:rPr>
              <w:rFonts w:ascii="Cambria Math" w:hAnsi="Cambria Math"/>
            </w:rPr>
            <m:t>corr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u)≈0.374</m:t>
          </m:r>
          <m:r>
            <w:rPr>
              <w:i/>
            </w:rPr>
            <w:br/>
          </m:r>
        </m:oMath>
      </m:oMathPara>
    </w:p>
    <w:p w14:paraId="324BC77D" w14:textId="77777777" w:rsidR="00431D7E" w:rsidRPr="00431D7E" w:rsidRDefault="00431D7E" w:rsidP="00431D7E">
      <w:pPr>
        <w:rPr>
          <w:lang w:val="en-US"/>
        </w:rPr>
      </w:pPr>
      <w:r w:rsidRPr="00431D7E">
        <w:rPr>
          <w:lang w:val="en-US"/>
        </w:rPr>
        <w:t>Binned medians show a clear increase:</w:t>
      </w:r>
    </w:p>
    <w:p w14:paraId="2030E040" w14:textId="06B33B8A" w:rsidR="00431D7E" w:rsidRPr="00431D7E" w:rsidRDefault="00431D7E" w:rsidP="00431D7E">
      <w:r w:rsidRPr="00431D7E">
        <w:t xml:space="preserve">|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</m:t>
        </m:r>
      </m:oMath>
      <w:r w:rsidRPr="00431D7E">
        <w:t xml:space="preserve">range | median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∣</m:t>
        </m:r>
      </m:oMath>
      <w:r w:rsidRPr="00431D7E">
        <w:t>|</w:t>
      </w:r>
      <w:r w:rsidRPr="00431D7E">
        <w:br/>
        <w:t>|------------------|----------------|</w:t>
      </w:r>
      <w:r w:rsidRPr="00431D7E">
        <w:br/>
        <w:t>| 0.0 – 0.1 | ~0.12 rad |</w:t>
      </w:r>
      <w:r w:rsidRPr="00431D7E">
        <w:br/>
        <w:t>| 0.4 – 0.5 | ~0.13 rad |</w:t>
      </w:r>
      <w:r w:rsidRPr="00431D7E">
        <w:br/>
        <w:t>| 0.6 – 0.7 | ~0.19 rad |</w:t>
      </w:r>
      <w:r w:rsidRPr="00431D7E">
        <w:br/>
        <w:t>| 0.8 – 0.9 | ~0.37 rad |</w:t>
      </w:r>
      <w:r w:rsidRPr="00431D7E">
        <w:br/>
        <w:t>| 0.9 – 1.0 | ~0.47 rad |</w:t>
      </w:r>
    </w:p>
    <w:p w14:paraId="0E17C8ED" w14:textId="77777777" w:rsidR="00431D7E" w:rsidRPr="00431D7E" w:rsidRDefault="00431D7E" w:rsidP="00431D7E">
      <w:r w:rsidRPr="00431D7E">
        <w:t>Thus:</w:t>
      </w:r>
    </w:p>
    <w:p w14:paraId="4183DF20" w14:textId="071582CD" w:rsidR="00431D7E" w:rsidRPr="00431D7E" w:rsidRDefault="00431D7E" w:rsidP="00431D7E">
      <w:pPr>
        <w:numPr>
          <w:ilvl w:val="0"/>
          <w:numId w:val="5"/>
        </w:numPr>
        <w:rPr>
          <w:lang w:val="en-US"/>
        </w:rPr>
      </w:pPr>
      <w:r w:rsidRPr="00431D7E">
        <w:rPr>
          <w:b/>
          <w:bCs/>
          <w:lang w:val="en-US"/>
        </w:rPr>
        <w:t>balanced factors</w:t>
      </w:r>
      <w:r w:rsidRPr="00431D7E">
        <w:rPr>
          <w:lang w:val="en-US"/>
        </w:rP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  <w:lang w:val="en-US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 w:rsidRPr="00431D7E">
        <w:rPr>
          <w:lang w:val="en-US"/>
        </w:rPr>
        <w:t>) yield strong phase coherence,</w:t>
      </w:r>
    </w:p>
    <w:p w14:paraId="7B139CD9" w14:textId="77777777" w:rsidR="00431D7E" w:rsidRPr="00431D7E" w:rsidRDefault="00431D7E" w:rsidP="00431D7E">
      <w:pPr>
        <w:numPr>
          <w:ilvl w:val="0"/>
          <w:numId w:val="5"/>
        </w:numPr>
        <w:rPr>
          <w:lang w:val="en-US"/>
        </w:rPr>
      </w:pPr>
      <w:r w:rsidRPr="00431D7E">
        <w:rPr>
          <w:b/>
          <w:bCs/>
          <w:lang w:val="en-US"/>
        </w:rPr>
        <w:t>unbalanced factors</w:t>
      </w:r>
      <w:r w:rsidRPr="00431D7E">
        <w:rPr>
          <w:lang w:val="en-US"/>
        </w:rPr>
        <w:t xml:space="preserve"> lead to progressive phase dispersion.</w:t>
      </w:r>
    </w:p>
    <w:p w14:paraId="3A7522F3" w14:textId="41871AC8" w:rsidR="00431D7E" w:rsidRPr="00431D7E" w:rsidRDefault="00431D7E" w:rsidP="00431D7E"/>
    <w:p w14:paraId="07490829" w14:textId="77777777" w:rsidR="00630EB0" w:rsidRDefault="00630EB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3ACA9055" w14:textId="4C12C62A" w:rsidR="00431D7E" w:rsidRPr="00431D7E" w:rsidRDefault="00431D7E" w:rsidP="00630EB0">
      <w:pPr>
        <w:pStyle w:val="Titre2"/>
        <w:rPr>
          <w:lang w:val="en-US"/>
        </w:rPr>
      </w:pPr>
      <w:r w:rsidRPr="00431D7E">
        <w:rPr>
          <w:lang w:val="en-US"/>
        </w:rPr>
        <w:t>6. Canonical formulation</w:t>
      </w:r>
    </w:p>
    <w:p w14:paraId="080FCE5F" w14:textId="046EA2C3" w:rsidR="00431D7E" w:rsidRPr="00431D7E" w:rsidRDefault="00431D7E" w:rsidP="00431D7E">
      <w:pPr>
        <w:rPr>
          <w:lang w:val="en-US"/>
        </w:rPr>
      </w:pPr>
      <w:r w:rsidRPr="00431D7E">
        <w:rPr>
          <w:lang w:val="en-US"/>
        </w:rPr>
        <w:t>The observed behavior is compactly summarized by:</w:t>
      </w:r>
      <w:r w:rsidR="009510EA">
        <w:rPr>
          <w:lang w:val="en-US"/>
        </w:rPr>
        <w:br/>
      </w:r>
    </w:p>
    <w:p w14:paraId="616CBC8B" w14:textId="742A97CE" w:rsidR="00431D7E" w:rsidRPr="00431D7E" w:rsidRDefault="00431D7E" w:rsidP="00431D7E">
      <w:pPr>
        <w:rPr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  <w:lang w:val="en-US"/>
                </w:rPr>
                <m:t>  </m:t>
              </m:r>
              <m:r>
                <w:rPr>
                  <w:rFonts w:ascii="Cambria Math" w:hAnsi="Cambria Math"/>
                  <w:lang w:val="en-US"/>
                </w:rPr>
                <m:t>+</m:t>
              </m:r>
              <m:r>
                <m:rPr>
                  <m:nor/>
                </m:rPr>
                <w:rPr>
                  <w:rFonts w:ascii="Arial" w:hAnsi="Arial" w:cs="Arial"/>
                  <w:lang w:val="en-US"/>
                </w:rPr>
                <m:t>  </m:t>
              </m:r>
              <m:r>
                <w:rPr>
                  <w:rFonts w:ascii="Cambria Math" w:hAnsi="Cambria Math"/>
                </w:rPr>
                <m:t>ε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m:rPr>
                  <m:nor/>
                </m:rPr>
                <w:rPr>
                  <w:rFonts w:ascii="Arial" w:hAnsi="Arial" w:cs="Arial"/>
                  <w:lang w:val="en-US"/>
                </w:rPr>
                <m:t>  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carry</m:t>
              </m:r>
              <m:r>
                <w:rPr>
                  <w:rFonts w:ascii="Cambria Math" w:hAnsi="Cambria Math"/>
                  <w:lang w:val="en-US"/>
                </w:rPr>
                <m:t>)</m:t>
              </m:r>
            </m:e>
          </m:borderBox>
          <m:r>
            <w:rPr>
              <w:lang w:val="en-US"/>
            </w:rPr>
            <w:br/>
          </m:r>
        </m:oMath>
      </m:oMathPara>
    </w:p>
    <w:p w14:paraId="238A1CE1" w14:textId="77777777" w:rsidR="00431D7E" w:rsidRPr="00431D7E" w:rsidRDefault="00431D7E" w:rsidP="00431D7E">
      <w:r w:rsidRPr="00431D7E">
        <w:t>where:</w:t>
      </w:r>
    </w:p>
    <w:p w14:paraId="0482AB4C" w14:textId="12B7E85D" w:rsidR="00431D7E" w:rsidRPr="00431D7E" w:rsidRDefault="00431D7E" w:rsidP="00431D7E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ε→0</m:t>
        </m:r>
      </m:oMath>
      <w:r w:rsidRPr="00431D7E">
        <w:t xml:space="preserve">as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u→0</m:t>
        </m:r>
      </m:oMath>
      <w:r w:rsidRPr="00431D7E">
        <w:t>,</w:t>
      </w:r>
    </w:p>
    <w:p w14:paraId="23F247FF" w14:textId="3791907B" w:rsidR="00431D7E" w:rsidRPr="00431D7E" w:rsidRDefault="00431D7E" w:rsidP="00431D7E">
      <w:pPr>
        <w:numPr>
          <w:ilvl w:val="0"/>
          <w:numId w:val="6"/>
        </w:numPr>
        <w:rPr>
          <w:lang w:val="en-US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  <w:lang w:val="en-US"/>
          </w:rPr>
          <m:t>∣</m:t>
        </m:r>
      </m:oMath>
      <w:r w:rsidRPr="00431D7E">
        <w:rPr>
          <w:lang w:val="en-US"/>
        </w:rPr>
        <w:t>increases monotonically with factor imbalance,</w:t>
      </w:r>
    </w:p>
    <w:p w14:paraId="20C0BCC2" w14:textId="303551DA" w:rsidR="00431D7E" w:rsidRPr="00431D7E" w:rsidRDefault="00431D7E" w:rsidP="00431D7E">
      <w:pPr>
        <w:numPr>
          <w:ilvl w:val="0"/>
          <w:numId w:val="6"/>
        </w:numPr>
        <w:rPr>
          <w:lang w:val="en-US"/>
        </w:rPr>
      </w:pPr>
      <w:r w:rsidRPr="00431D7E">
        <w:rPr>
          <w:lang w:val="en-US"/>
        </w:rPr>
        <w:t xml:space="preserve">the dyadic carry case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=2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en-US"/>
          </w:rPr>
          <m:t>+1</m:t>
        </m:r>
      </m:oMath>
      <w:r w:rsidRPr="00431D7E">
        <w:rPr>
          <w:lang w:val="en-US"/>
        </w:rPr>
        <w:t xml:space="preserve">minimizes </w:t>
      </w:r>
      <m:oMath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  <w:lang w:val="en-US"/>
          </w:rPr>
          <m:t>∣</m:t>
        </m:r>
      </m:oMath>
      <w:r w:rsidRPr="00431D7E">
        <w:rPr>
          <w:lang w:val="en-US"/>
        </w:rPr>
        <w:t>.</w:t>
      </w:r>
    </w:p>
    <w:p w14:paraId="1D161E05" w14:textId="77777777" w:rsidR="00431D7E" w:rsidRPr="00431D7E" w:rsidRDefault="00431D7E" w:rsidP="00431D7E">
      <w:pPr>
        <w:rPr>
          <w:lang w:val="en-US"/>
        </w:rPr>
      </w:pPr>
      <w:r w:rsidRPr="00431D7E">
        <w:rPr>
          <w:lang w:val="en-US"/>
        </w:rPr>
        <w:t xml:space="preserve">This defines a </w:t>
      </w:r>
      <w:r w:rsidRPr="00431D7E">
        <w:rPr>
          <w:b/>
          <w:bCs/>
          <w:lang w:val="en-US"/>
        </w:rPr>
        <w:t>dyadic phase transport law</w:t>
      </w:r>
      <w:r w:rsidRPr="00431D7E">
        <w:rPr>
          <w:lang w:val="en-US"/>
        </w:rPr>
        <w:t xml:space="preserve"> for semiprime integers.</w:t>
      </w:r>
    </w:p>
    <w:p w14:paraId="7AE023BD" w14:textId="77777777" w:rsidR="009510EA" w:rsidRDefault="00630EB0" w:rsidP="009510EA">
      <w:pPr>
        <w:keepNext/>
      </w:pPr>
      <w:r>
        <w:rPr>
          <w:noProof/>
        </w:rPr>
        <w:drawing>
          <wp:inline distT="0" distB="0" distL="0" distR="0" wp14:anchorId="70D2D0A9" wp14:editId="20B36A78">
            <wp:extent cx="6120130" cy="3463290"/>
            <wp:effectExtent l="0" t="0" r="0" b="3810"/>
            <wp:docPr id="463233320" name="Image 4" descr="Une image contenant texte, diagramm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33320" name="Image 4" descr="Une image contenant texte, diagramme, capture d’écran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6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A5A7D" w14:textId="6AB3B33B" w:rsidR="00431D7E" w:rsidRPr="009510EA" w:rsidRDefault="008A4A4D" w:rsidP="009510EA">
      <w:pPr>
        <w:pStyle w:val="Lgende"/>
        <w:rPr>
          <w:lang w:val="en-US"/>
        </w:rPr>
      </w:pPr>
      <w:r>
        <w:rPr>
          <w:lang w:val="en-US"/>
        </w:rPr>
        <w:t xml:space="preserve">Fig4 </w:t>
      </w:r>
      <w:r w:rsidR="009510EA" w:rsidRPr="009510EA">
        <w:rPr>
          <w:lang w:val="en-US"/>
        </w:rPr>
        <w:t>Phase dispersion as a function of intra-dyadic factor imbalance. The plot shows the median absolute residual median(</w:t>
      </w:r>
      <w:r w:rsidR="009510EA" w:rsidRPr="009510EA">
        <w:rPr>
          <w:rFonts w:ascii="Cambria Math" w:hAnsi="Cambria Math" w:cs="Cambria Math"/>
          <w:lang w:val="en-US"/>
        </w:rPr>
        <w:t>∣𝛿∣</w:t>
      </w:r>
      <w:r w:rsidR="009510EA" w:rsidRPr="009510EA">
        <w:rPr>
          <w:lang w:val="en-US"/>
        </w:rPr>
        <w:t xml:space="preserve">) as a function of the imbalance </w:t>
      </w:r>
      <w:r w:rsidR="009510EA" w:rsidRPr="009510EA">
        <w:rPr>
          <w:rFonts w:ascii="Cambria Math" w:hAnsi="Cambria Math" w:cs="Cambria Math"/>
          <w:lang w:val="en-US"/>
        </w:rPr>
        <w:t>∣𝑢𝑝</w:t>
      </w:r>
      <w:r w:rsidR="009510EA" w:rsidRPr="009510EA">
        <w:rPr>
          <w:lang w:val="en-US"/>
        </w:rPr>
        <w:t>−</w:t>
      </w:r>
      <w:r w:rsidR="009510EA" w:rsidRPr="009510EA">
        <w:rPr>
          <w:rFonts w:ascii="Cambria Math" w:hAnsi="Cambria Math" w:cs="Cambria Math"/>
          <w:lang w:val="en-US"/>
        </w:rPr>
        <w:t>𝑢𝑞∣</w:t>
      </w:r>
      <w:r w:rsidR="009510EA" w:rsidRPr="009510EA">
        <w:rPr>
          <w:lang w:val="en-US"/>
        </w:rPr>
        <w:t xml:space="preserve">, where </w:t>
      </w:r>
      <w:r w:rsidR="009510EA" w:rsidRPr="009510EA">
        <w:rPr>
          <w:rFonts w:ascii="Cambria Math" w:hAnsi="Cambria Math" w:cs="Cambria Math"/>
          <w:lang w:val="en-US"/>
        </w:rPr>
        <w:t>𝑢𝑥</w:t>
      </w:r>
      <w:r w:rsidR="009510EA" w:rsidRPr="009510EA">
        <w:rPr>
          <w:lang w:val="en-US"/>
        </w:rPr>
        <w:t>=log2(</w:t>
      </w:r>
      <w:r w:rsidR="009510EA" w:rsidRPr="009510EA">
        <w:rPr>
          <w:rFonts w:ascii="Cambria Math" w:hAnsi="Cambria Math" w:cs="Cambria Math"/>
          <w:lang w:val="en-US"/>
        </w:rPr>
        <w:t>𝑥</w:t>
      </w:r>
      <w:r w:rsidR="009510EA" w:rsidRPr="009510EA">
        <w:rPr>
          <w:lang w:val="en-US"/>
        </w:rPr>
        <w:t>)−</w:t>
      </w:r>
      <w:r w:rsidR="009510EA" w:rsidRPr="009510EA">
        <w:rPr>
          <w:rFonts w:ascii="Cambria Math" w:hAnsi="Cambria Math" w:cs="Cambria Math"/>
          <w:lang w:val="en-US"/>
        </w:rPr>
        <w:t>⌊</w:t>
      </w:r>
      <w:r w:rsidR="009510EA" w:rsidRPr="009510EA">
        <w:rPr>
          <w:lang w:val="en-US"/>
        </w:rPr>
        <w:t>log2(</w:t>
      </w:r>
      <w:r w:rsidR="009510EA" w:rsidRPr="009510EA">
        <w:rPr>
          <w:rFonts w:ascii="Cambria Math" w:hAnsi="Cambria Math" w:cs="Cambria Math"/>
          <w:lang w:val="en-US"/>
        </w:rPr>
        <w:t>𝑥</w:t>
      </w:r>
      <w:r w:rsidR="009510EA" w:rsidRPr="009510EA">
        <w:rPr>
          <w:lang w:val="en-US"/>
        </w:rPr>
        <w:t>)</w:t>
      </w:r>
      <w:r w:rsidR="009510EA" w:rsidRPr="009510EA">
        <w:rPr>
          <w:rFonts w:ascii="Cambria Math" w:hAnsi="Cambria Math" w:cs="Cambria Math"/>
          <w:lang w:val="en-US"/>
        </w:rPr>
        <w:t>⌋</w:t>
      </w:r>
      <w:r w:rsidR="009510EA" w:rsidRPr="009510EA">
        <w:rPr>
          <w:lang w:val="en-US"/>
        </w:rPr>
        <w:t>. Phase dispersion increases monotonically with factor imbalance, revealing a pendular dissipation law: balanced factors yield strong phase coherence, while unbalanced factors progressively weaken phase locking.</w:t>
      </w:r>
    </w:p>
    <w:p w14:paraId="7ABE61D8" w14:textId="77777777" w:rsidR="00431D7E" w:rsidRPr="00431D7E" w:rsidRDefault="00431D7E" w:rsidP="00D624EC">
      <w:pPr>
        <w:pStyle w:val="Titre2"/>
        <w:rPr>
          <w:lang w:val="en-US"/>
        </w:rPr>
      </w:pPr>
      <w:r w:rsidRPr="00431D7E">
        <w:rPr>
          <w:lang w:val="en-US"/>
        </w:rPr>
        <w:t>7. Interpretation (kept deliberately minimal)</w:t>
      </w:r>
    </w:p>
    <w:p w14:paraId="74BCA628" w14:textId="77777777" w:rsidR="00431D7E" w:rsidRPr="00431D7E" w:rsidRDefault="00431D7E" w:rsidP="00431D7E">
      <w:pPr>
        <w:rPr>
          <w:lang w:val="en-US"/>
        </w:rPr>
      </w:pPr>
      <w:r w:rsidRPr="00431D7E">
        <w:rPr>
          <w:lang w:val="en-US"/>
        </w:rPr>
        <w:t>These results show that:</w:t>
      </w:r>
    </w:p>
    <w:p w14:paraId="043F5521" w14:textId="77777777" w:rsidR="00431D7E" w:rsidRPr="00431D7E" w:rsidRDefault="00431D7E" w:rsidP="00431D7E">
      <w:pPr>
        <w:numPr>
          <w:ilvl w:val="0"/>
          <w:numId w:val="7"/>
        </w:numPr>
        <w:rPr>
          <w:lang w:val="en-US"/>
        </w:rPr>
      </w:pPr>
      <w:r w:rsidRPr="00431D7E">
        <w:rPr>
          <w:lang w:val="en-US"/>
        </w:rPr>
        <w:t xml:space="preserve">multiplication of integers induces a </w:t>
      </w:r>
      <w:r w:rsidRPr="00431D7E">
        <w:rPr>
          <w:b/>
          <w:bCs/>
          <w:lang w:val="en-US"/>
        </w:rPr>
        <w:t>non-local angular structure</w:t>
      </w:r>
      <w:r w:rsidRPr="00431D7E">
        <w:rPr>
          <w:lang w:val="en-US"/>
        </w:rPr>
        <w:t>,</w:t>
      </w:r>
    </w:p>
    <w:p w14:paraId="0CB18B90" w14:textId="77777777" w:rsidR="00431D7E" w:rsidRPr="00431D7E" w:rsidRDefault="00431D7E" w:rsidP="00431D7E">
      <w:pPr>
        <w:numPr>
          <w:ilvl w:val="0"/>
          <w:numId w:val="7"/>
        </w:numPr>
        <w:rPr>
          <w:lang w:val="en-US"/>
        </w:rPr>
      </w:pPr>
      <w:r w:rsidRPr="00431D7E">
        <w:rPr>
          <w:lang w:val="en-US"/>
        </w:rPr>
        <w:t xml:space="preserve">semiprimes inherit a </w:t>
      </w:r>
      <w:r w:rsidRPr="00431D7E">
        <w:rPr>
          <w:b/>
          <w:bCs/>
          <w:lang w:val="en-US"/>
        </w:rPr>
        <w:t>composed phase</w:t>
      </w:r>
      <w:r w:rsidRPr="00431D7E">
        <w:rPr>
          <w:lang w:val="en-US"/>
        </w:rPr>
        <w:t xml:space="preserve"> from their factors,</w:t>
      </w:r>
    </w:p>
    <w:p w14:paraId="1243CC1C" w14:textId="77777777" w:rsidR="00431D7E" w:rsidRPr="00431D7E" w:rsidRDefault="00431D7E" w:rsidP="00431D7E">
      <w:pPr>
        <w:numPr>
          <w:ilvl w:val="0"/>
          <w:numId w:val="7"/>
        </w:numPr>
        <w:rPr>
          <w:lang w:val="en-US"/>
        </w:rPr>
      </w:pPr>
      <w:r w:rsidRPr="00431D7E">
        <w:rPr>
          <w:lang w:val="en-US"/>
        </w:rPr>
        <w:t>dyadic scaling governs the stability of this transport.</w:t>
      </w:r>
    </w:p>
    <w:p w14:paraId="4DFA1BDF" w14:textId="77777777" w:rsidR="00431D7E" w:rsidRPr="00431D7E" w:rsidRDefault="00431D7E" w:rsidP="00431D7E">
      <w:r w:rsidRPr="00431D7E">
        <w:rPr>
          <w:lang w:val="en-US"/>
        </w:rPr>
        <w:t>No appeal is made here to analytic continuation, zeta functions, or spectral conjectures.</w:t>
      </w:r>
      <w:r w:rsidRPr="00431D7E">
        <w:rPr>
          <w:lang w:val="en-US"/>
        </w:rPr>
        <w:br/>
      </w:r>
      <w:r w:rsidRPr="00431D7E">
        <w:t xml:space="preserve">The phenomenon is </w:t>
      </w:r>
      <w:r w:rsidRPr="00431D7E">
        <w:rPr>
          <w:b/>
          <w:bCs/>
        </w:rPr>
        <w:t>empirical, geometric, and reproducible</w:t>
      </w:r>
      <w:r w:rsidRPr="00431D7E">
        <w:t>.</w:t>
      </w:r>
    </w:p>
    <w:p w14:paraId="4E0DC12D" w14:textId="61947FD5" w:rsidR="001E0EB7" w:rsidRPr="00431D7E" w:rsidRDefault="001E0EB7" w:rsidP="00431D7E"/>
    <w:sectPr w:rsidR="001E0EB7" w:rsidRPr="00431D7E" w:rsidSect="00A9794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7E62"/>
    <w:multiLevelType w:val="multilevel"/>
    <w:tmpl w:val="A658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B5C14"/>
    <w:multiLevelType w:val="multilevel"/>
    <w:tmpl w:val="5172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97245"/>
    <w:multiLevelType w:val="multilevel"/>
    <w:tmpl w:val="3910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00FC7"/>
    <w:multiLevelType w:val="multilevel"/>
    <w:tmpl w:val="15FC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A653C"/>
    <w:multiLevelType w:val="multilevel"/>
    <w:tmpl w:val="EE94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50739"/>
    <w:multiLevelType w:val="multilevel"/>
    <w:tmpl w:val="83D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E3159B"/>
    <w:multiLevelType w:val="multilevel"/>
    <w:tmpl w:val="2B0E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808245">
    <w:abstractNumId w:val="3"/>
  </w:num>
  <w:num w:numId="2" w16cid:durableId="1633095671">
    <w:abstractNumId w:val="6"/>
  </w:num>
  <w:num w:numId="3" w16cid:durableId="102499364">
    <w:abstractNumId w:val="1"/>
  </w:num>
  <w:num w:numId="4" w16cid:durableId="1036197046">
    <w:abstractNumId w:val="5"/>
  </w:num>
  <w:num w:numId="5" w16cid:durableId="1009989961">
    <w:abstractNumId w:val="2"/>
  </w:num>
  <w:num w:numId="6" w16cid:durableId="696082063">
    <w:abstractNumId w:val="4"/>
  </w:num>
  <w:num w:numId="7" w16cid:durableId="1245645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D7E"/>
    <w:rsid w:val="001E0EB7"/>
    <w:rsid w:val="001F2A90"/>
    <w:rsid w:val="0042235C"/>
    <w:rsid w:val="00431D7E"/>
    <w:rsid w:val="00630EB0"/>
    <w:rsid w:val="008A4A4D"/>
    <w:rsid w:val="009510EA"/>
    <w:rsid w:val="00A97948"/>
    <w:rsid w:val="00B5740C"/>
    <w:rsid w:val="00D624EC"/>
    <w:rsid w:val="00DC60A6"/>
    <w:rsid w:val="00E51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F16AF"/>
  <w15:chartTrackingRefBased/>
  <w15:docId w15:val="{AF2B42A5-E6A7-4714-AFE5-5A242D955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31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31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31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1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1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1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1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1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1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1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31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31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1D7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1D7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1D7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1D7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1D7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1D7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1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1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1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1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1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1D7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1D7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1D7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1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1D7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1D7E"/>
    <w:rPr>
      <w:b/>
      <w:bCs/>
      <w:smallCaps/>
      <w:color w:val="0F4761" w:themeColor="accent1" w:themeShade="BF"/>
      <w:spacing w:val="5"/>
    </w:rPr>
  </w:style>
  <w:style w:type="paragraph" w:styleId="Lgende">
    <w:name w:val="caption"/>
    <w:basedOn w:val="Normal"/>
    <w:next w:val="Normal"/>
    <w:uiPriority w:val="35"/>
    <w:unhideWhenUsed/>
    <w:qFormat/>
    <w:rsid w:val="00630EB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769</Words>
  <Characters>4230</Characters>
  <Application>Microsoft Office Word</Application>
  <DocSecurity>0</DocSecurity>
  <Lines>35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8</vt:i4>
      </vt:variant>
    </vt:vector>
  </HeadingPairs>
  <TitlesOfParts>
    <vt:vector size="9" baseType="lpstr">
      <vt:lpstr/>
      <vt:lpstr>Dyadic Phase Transport in Semiprime Integers</vt:lpstr>
      <vt:lpstr>    1. Dataset and scope</vt:lpstr>
      <vt:lpstr>    2. Phase composition hypothesis</vt:lpstr>
      <vt:lpstr>    3. Empirical phase alignment</vt:lpstr>
      <vt:lpstr>    4. Dyadic carry bifurcation</vt:lpstr>
      <vt:lpstr>    5. Dependence on factor imbalance</vt:lpstr>
      <vt:lpstr>    6. Canonical formulation</vt:lpstr>
      <vt:lpstr>    7. Interpretation (kept deliberately minimal)</vt:lpstr>
    </vt:vector>
  </TitlesOfParts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Ciccia</dc:creator>
  <cp:keywords/>
  <dc:description/>
  <cp:lastModifiedBy>daniel Ciccia</cp:lastModifiedBy>
  <cp:revision>6</cp:revision>
  <dcterms:created xsi:type="dcterms:W3CDTF">2026-01-30T10:43:00Z</dcterms:created>
  <dcterms:modified xsi:type="dcterms:W3CDTF">2026-01-30T11:14:00Z</dcterms:modified>
</cp:coreProperties>
</file>