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0E1" w:rsidRDefault="00A400E1" w:rsidP="00BA24AE">
      <w:pPr>
        <w:rPr>
          <w:b/>
          <w:sz w:val="28"/>
          <w:u w:val="single"/>
        </w:rPr>
      </w:pPr>
    </w:p>
    <w:p w:rsidR="00A400E1" w:rsidRDefault="00A400E1" w:rsidP="00BA24AE">
      <w:pPr>
        <w:rPr>
          <w:b/>
          <w:sz w:val="28"/>
          <w:u w:val="single"/>
        </w:rPr>
      </w:pPr>
      <w:r>
        <w:rPr>
          <w:rFonts w:ascii="Arial" w:hAnsi="Arial" w:cs="Arial"/>
          <w:noProof/>
          <w:color w:val="0000FF"/>
          <w:sz w:val="27"/>
          <w:szCs w:val="27"/>
          <w:lang w:eastAsia="en-ZA"/>
        </w:rPr>
        <w:drawing>
          <wp:inline distT="0" distB="0" distL="0" distR="0">
            <wp:extent cx="5731510" cy="981543"/>
            <wp:effectExtent l="0" t="0" r="2540" b="9525"/>
            <wp:docPr id="66" name="Picture 66" descr="Image result for african institute of financial markets and risk managemen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result for african institute of financial markets and risk management">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981543"/>
                    </a:xfrm>
                    <a:prstGeom prst="rect">
                      <a:avLst/>
                    </a:prstGeom>
                    <a:noFill/>
                    <a:ln>
                      <a:noFill/>
                    </a:ln>
                  </pic:spPr>
                </pic:pic>
              </a:graphicData>
            </a:graphic>
          </wp:inline>
        </w:drawing>
      </w:r>
    </w:p>
    <w:p w:rsidR="00407D19" w:rsidRDefault="00407D19" w:rsidP="00BA24AE">
      <w:pPr>
        <w:rPr>
          <w:b/>
          <w:sz w:val="28"/>
          <w:u w:val="single"/>
        </w:rPr>
      </w:pPr>
    </w:p>
    <w:p w:rsidR="00407D19" w:rsidRDefault="00407D19" w:rsidP="00407D19">
      <w:pPr>
        <w:jc w:val="center"/>
        <w:rPr>
          <w:b/>
          <w:sz w:val="28"/>
          <w:u w:val="single"/>
        </w:rPr>
      </w:pPr>
    </w:p>
    <w:p w:rsidR="00407D19" w:rsidRDefault="00407D19" w:rsidP="00407D19">
      <w:pPr>
        <w:jc w:val="center"/>
        <w:rPr>
          <w:rFonts w:cstheme="minorHAnsi"/>
          <w:b/>
          <w:sz w:val="56"/>
        </w:rPr>
      </w:pPr>
    </w:p>
    <w:p w:rsidR="00407D19" w:rsidRPr="00407D19" w:rsidRDefault="00E53487" w:rsidP="00407D19">
      <w:pPr>
        <w:jc w:val="center"/>
        <w:rPr>
          <w:rFonts w:cstheme="minorHAnsi"/>
          <w:b/>
          <w:sz w:val="56"/>
        </w:rPr>
      </w:pPr>
      <w:r>
        <w:rPr>
          <w:rFonts w:cstheme="minorHAnsi"/>
          <w:b/>
          <w:sz w:val="56"/>
        </w:rPr>
        <w:t>GROUP 2</w:t>
      </w:r>
    </w:p>
    <w:p w:rsidR="00407D19" w:rsidRDefault="00E53487" w:rsidP="00407D19">
      <w:pPr>
        <w:jc w:val="center"/>
        <w:rPr>
          <w:rFonts w:cstheme="minorHAnsi"/>
          <w:b/>
          <w:sz w:val="56"/>
        </w:rPr>
      </w:pPr>
      <w:r>
        <w:rPr>
          <w:rFonts w:cstheme="minorHAnsi"/>
          <w:b/>
          <w:sz w:val="56"/>
        </w:rPr>
        <w:t>Research Project Submission</w:t>
      </w:r>
    </w:p>
    <w:p w:rsidR="00407D19" w:rsidRPr="00407D19" w:rsidRDefault="00407D19" w:rsidP="00407D19">
      <w:pPr>
        <w:jc w:val="center"/>
        <w:rPr>
          <w:rFonts w:cstheme="minorHAnsi"/>
          <w:b/>
          <w:sz w:val="56"/>
        </w:rPr>
      </w:pPr>
    </w:p>
    <w:p w:rsidR="00407D19" w:rsidRDefault="00407D19" w:rsidP="00407D19">
      <w:pPr>
        <w:jc w:val="center"/>
        <w:rPr>
          <w:b/>
          <w:sz w:val="48"/>
        </w:rPr>
      </w:pPr>
    </w:p>
    <w:p w:rsidR="00407D19" w:rsidRDefault="00407D19" w:rsidP="00407D19">
      <w:pPr>
        <w:rPr>
          <w:b/>
          <w:sz w:val="48"/>
        </w:rPr>
      </w:pPr>
    </w:p>
    <w:p w:rsidR="00407D19" w:rsidRDefault="00407D19" w:rsidP="00407D19">
      <w:pPr>
        <w:rPr>
          <w:b/>
          <w:sz w:val="48"/>
        </w:rPr>
      </w:pPr>
    </w:p>
    <w:p w:rsidR="00407D19" w:rsidRDefault="00407D19" w:rsidP="00407D19">
      <w:pPr>
        <w:rPr>
          <w:b/>
          <w:sz w:val="48"/>
        </w:rPr>
      </w:pPr>
    </w:p>
    <w:p w:rsidR="00407D19" w:rsidRPr="00407D19" w:rsidRDefault="00407D19" w:rsidP="00407D19">
      <w:pPr>
        <w:rPr>
          <w:b/>
          <w:sz w:val="44"/>
        </w:rPr>
      </w:pPr>
      <w:r w:rsidRPr="00407D19">
        <w:rPr>
          <w:b/>
          <w:sz w:val="44"/>
        </w:rPr>
        <w:t>Prepared by:</w:t>
      </w:r>
    </w:p>
    <w:p w:rsidR="00407D19" w:rsidRDefault="00407D19" w:rsidP="00407D19">
      <w:pPr>
        <w:ind w:left="720"/>
        <w:rPr>
          <w:b/>
          <w:sz w:val="44"/>
        </w:rPr>
      </w:pPr>
      <w:r w:rsidRPr="00407D19">
        <w:rPr>
          <w:b/>
          <w:sz w:val="44"/>
        </w:rPr>
        <w:t>Daniel Cogzell</w:t>
      </w:r>
      <w:r w:rsidR="00501A10">
        <w:rPr>
          <w:b/>
          <w:sz w:val="44"/>
        </w:rPr>
        <w:tab/>
      </w:r>
      <w:r w:rsidR="00501A10">
        <w:rPr>
          <w:b/>
          <w:sz w:val="44"/>
        </w:rPr>
        <w:tab/>
      </w:r>
      <w:r w:rsidR="00501A10">
        <w:rPr>
          <w:b/>
          <w:sz w:val="44"/>
        </w:rPr>
        <w:tab/>
      </w:r>
      <w:r w:rsidR="00501A10">
        <w:rPr>
          <w:b/>
          <w:sz w:val="44"/>
        </w:rPr>
        <w:tab/>
        <w:t>- CGZDAN001</w:t>
      </w:r>
    </w:p>
    <w:p w:rsidR="00E53487" w:rsidRDefault="00E53487" w:rsidP="00407D19">
      <w:pPr>
        <w:ind w:left="720"/>
        <w:rPr>
          <w:b/>
          <w:sz w:val="44"/>
        </w:rPr>
      </w:pPr>
      <w:r>
        <w:rPr>
          <w:b/>
          <w:sz w:val="44"/>
        </w:rPr>
        <w:t>Nkosingiphile Mkhonta</w:t>
      </w:r>
      <w:r>
        <w:rPr>
          <w:b/>
          <w:sz w:val="44"/>
        </w:rPr>
        <w:tab/>
      </w:r>
      <w:r>
        <w:rPr>
          <w:b/>
          <w:sz w:val="44"/>
        </w:rPr>
        <w:tab/>
        <w:t>- MKHNKO016</w:t>
      </w:r>
    </w:p>
    <w:p w:rsidR="009B3ABD" w:rsidRDefault="00E53487" w:rsidP="00407D19">
      <w:pPr>
        <w:ind w:left="720"/>
        <w:rPr>
          <w:b/>
          <w:sz w:val="44"/>
        </w:rPr>
      </w:pPr>
      <w:r>
        <w:rPr>
          <w:b/>
          <w:sz w:val="44"/>
        </w:rPr>
        <w:t>Moses Cheong</w:t>
      </w:r>
      <w:r>
        <w:rPr>
          <w:b/>
          <w:sz w:val="44"/>
        </w:rPr>
        <w:tab/>
      </w:r>
      <w:r>
        <w:rPr>
          <w:b/>
          <w:sz w:val="44"/>
        </w:rPr>
        <w:tab/>
      </w:r>
      <w:r>
        <w:rPr>
          <w:b/>
          <w:sz w:val="44"/>
        </w:rPr>
        <w:tab/>
      </w:r>
      <w:r>
        <w:rPr>
          <w:b/>
          <w:sz w:val="44"/>
        </w:rPr>
        <w:tab/>
        <w:t xml:space="preserve">- CHNMOS004 </w:t>
      </w:r>
    </w:p>
    <w:p w:rsidR="009B3ABD" w:rsidRDefault="009B3ABD">
      <w:pPr>
        <w:rPr>
          <w:b/>
          <w:sz w:val="44"/>
        </w:rPr>
      </w:pPr>
      <w:r>
        <w:rPr>
          <w:b/>
          <w:sz w:val="44"/>
        </w:rPr>
        <w:br w:type="page"/>
      </w:r>
    </w:p>
    <w:p w:rsidR="00E53487" w:rsidRDefault="00E53487" w:rsidP="00407D19">
      <w:pPr>
        <w:ind w:left="720"/>
        <w:rPr>
          <w:b/>
          <w:sz w:val="44"/>
        </w:rPr>
      </w:pPr>
    </w:p>
    <w:p w:rsidR="009B3ABD" w:rsidRDefault="009B3ABD" w:rsidP="009B3ABD">
      <w:pPr>
        <w:ind w:left="720"/>
        <w:rPr>
          <w:b/>
          <w:sz w:val="44"/>
        </w:rPr>
      </w:pPr>
      <w:r>
        <w:rPr>
          <w:b/>
          <w:sz w:val="44"/>
        </w:rPr>
        <w:t>Table of contents:</w:t>
      </w:r>
    </w:p>
    <w:p w:rsidR="009B3ABD" w:rsidRDefault="009B3ABD" w:rsidP="009B3ABD">
      <w:pPr>
        <w:ind w:left="720"/>
        <w:rPr>
          <w:b/>
          <w:sz w:val="44"/>
        </w:rPr>
      </w:pPr>
    </w:p>
    <w:p w:rsidR="009B3ABD" w:rsidRDefault="009B3ABD" w:rsidP="009B3ABD">
      <w:pPr>
        <w:ind w:left="720"/>
        <w:rPr>
          <w:b/>
          <w:sz w:val="44"/>
        </w:rPr>
      </w:pPr>
      <w:r>
        <w:rPr>
          <w:b/>
          <w:sz w:val="44"/>
        </w:rPr>
        <w:t>&lt;Bla Bla will insert later&gt;</w:t>
      </w:r>
    </w:p>
    <w:p w:rsidR="009B3ABD" w:rsidRDefault="009B3ABD" w:rsidP="009B3ABD">
      <w:pPr>
        <w:ind w:left="720"/>
        <w:rPr>
          <w:b/>
          <w:sz w:val="44"/>
        </w:rPr>
      </w:pPr>
    </w:p>
    <w:p w:rsidR="009B3ABD" w:rsidRDefault="009B3ABD">
      <w:pPr>
        <w:rPr>
          <w:b/>
          <w:sz w:val="44"/>
        </w:rPr>
      </w:pPr>
      <w:r>
        <w:rPr>
          <w:b/>
          <w:sz w:val="44"/>
        </w:rPr>
        <w:br w:type="page"/>
      </w:r>
    </w:p>
    <w:p w:rsidR="009B3ABD" w:rsidRDefault="009B3ABD" w:rsidP="009B3ABD">
      <w:pPr>
        <w:ind w:left="720"/>
        <w:rPr>
          <w:b/>
          <w:sz w:val="44"/>
        </w:rPr>
      </w:pPr>
      <w:r>
        <w:rPr>
          <w:b/>
          <w:sz w:val="44"/>
        </w:rPr>
        <w:lastRenderedPageBreak/>
        <w:t xml:space="preserve">Perhaps a list of figures and a list of Tables as well? </w:t>
      </w:r>
    </w:p>
    <w:p w:rsidR="009B3ABD" w:rsidRDefault="009B3ABD" w:rsidP="009B3ABD">
      <w:pPr>
        <w:ind w:left="720"/>
        <w:rPr>
          <w:b/>
          <w:sz w:val="44"/>
        </w:rPr>
      </w:pPr>
      <w:r>
        <w:rPr>
          <w:b/>
          <w:sz w:val="44"/>
        </w:rPr>
        <w:t>&lt; we will decide later&gt;</w:t>
      </w:r>
    </w:p>
    <w:p w:rsidR="009B3ABD" w:rsidRDefault="009B3ABD" w:rsidP="009B3ABD">
      <w:pPr>
        <w:ind w:left="720"/>
        <w:rPr>
          <w:b/>
          <w:sz w:val="44"/>
        </w:rPr>
      </w:pPr>
    </w:p>
    <w:p w:rsidR="009B3ABD" w:rsidRDefault="009B3ABD" w:rsidP="009B3ABD">
      <w:pPr>
        <w:ind w:left="720"/>
        <w:rPr>
          <w:b/>
          <w:sz w:val="44"/>
        </w:rPr>
      </w:pPr>
    </w:p>
    <w:p w:rsidR="009B3ABD" w:rsidRDefault="009B3ABD">
      <w:pPr>
        <w:rPr>
          <w:b/>
          <w:sz w:val="44"/>
        </w:rPr>
      </w:pPr>
      <w:r>
        <w:rPr>
          <w:b/>
          <w:sz w:val="44"/>
        </w:rPr>
        <w:br w:type="page"/>
      </w:r>
    </w:p>
    <w:p w:rsidR="000B3842" w:rsidRPr="009B3ABD" w:rsidRDefault="009B3ABD" w:rsidP="004F5FBC">
      <w:pPr>
        <w:pStyle w:val="Heading1"/>
        <w:numPr>
          <w:ilvl w:val="0"/>
          <w:numId w:val="13"/>
        </w:numPr>
        <w:rPr>
          <w:b/>
          <w:color w:val="000000" w:themeColor="text1"/>
        </w:rPr>
      </w:pPr>
      <w:r w:rsidRPr="009B3ABD">
        <w:rPr>
          <w:b/>
          <w:color w:val="000000" w:themeColor="text1"/>
        </w:rPr>
        <w:lastRenderedPageBreak/>
        <w:t>Introduction</w:t>
      </w:r>
    </w:p>
    <w:p w:rsidR="009B3ABD" w:rsidRDefault="009B3ABD" w:rsidP="0002679B">
      <w:pPr>
        <w:jc w:val="both"/>
        <w:rPr>
          <w:sz w:val="28"/>
        </w:rPr>
      </w:pPr>
    </w:p>
    <w:p w:rsidR="009B3ABD" w:rsidRPr="000977DE" w:rsidRDefault="009B3ABD" w:rsidP="0002679B">
      <w:pPr>
        <w:jc w:val="both"/>
        <w:rPr>
          <w:sz w:val="24"/>
          <w:szCs w:val="24"/>
        </w:rPr>
      </w:pPr>
      <w:r w:rsidRPr="000977DE">
        <w:rPr>
          <w:sz w:val="24"/>
          <w:szCs w:val="24"/>
        </w:rPr>
        <w:t xml:space="preserve">This </w:t>
      </w:r>
      <w:r w:rsidR="005D451F" w:rsidRPr="000977DE">
        <w:rPr>
          <w:sz w:val="24"/>
          <w:szCs w:val="24"/>
        </w:rPr>
        <w:t>project</w:t>
      </w:r>
      <w:r w:rsidRPr="000977DE">
        <w:rPr>
          <w:sz w:val="24"/>
          <w:szCs w:val="24"/>
        </w:rPr>
        <w:t xml:space="preserve"> will focus on a financial product called Exchange-Traded Funds (ETFs) and specifically equity-based ETFs. These ETFs are often created to represent a certain sector or index in the market and they can tailored to target certain fundamental factors. The three factors that will be considered in the scope of this project is the </w:t>
      </w:r>
      <w:r w:rsidR="005D451F" w:rsidRPr="000977DE">
        <w:rPr>
          <w:sz w:val="24"/>
          <w:szCs w:val="24"/>
        </w:rPr>
        <w:t>value, momentum and size of the underlying equities.</w:t>
      </w:r>
    </w:p>
    <w:p w:rsidR="0002679B" w:rsidRPr="000977DE" w:rsidRDefault="005D451F" w:rsidP="0002679B">
      <w:pPr>
        <w:jc w:val="both"/>
        <w:rPr>
          <w:sz w:val="24"/>
          <w:szCs w:val="24"/>
        </w:rPr>
      </w:pPr>
      <w:r w:rsidRPr="000977DE">
        <w:rPr>
          <w:sz w:val="24"/>
          <w:szCs w:val="24"/>
        </w:rPr>
        <w:t xml:space="preserve">The goal of this project is to construct </w:t>
      </w:r>
      <w:r w:rsidR="0002679B" w:rsidRPr="000977DE">
        <w:rPr>
          <w:sz w:val="24"/>
          <w:szCs w:val="24"/>
        </w:rPr>
        <w:t>three</w:t>
      </w:r>
      <w:r w:rsidRPr="000977DE">
        <w:rPr>
          <w:sz w:val="24"/>
          <w:szCs w:val="24"/>
        </w:rPr>
        <w:t xml:space="preserve"> ETFs based on the </w:t>
      </w:r>
      <w:r w:rsidR="0002679B" w:rsidRPr="000977DE">
        <w:rPr>
          <w:sz w:val="24"/>
          <w:szCs w:val="24"/>
        </w:rPr>
        <w:t>above-mentioned</w:t>
      </w:r>
      <w:r w:rsidRPr="000977DE">
        <w:rPr>
          <w:sz w:val="24"/>
          <w:szCs w:val="24"/>
        </w:rPr>
        <w:t xml:space="preserve"> fundamental factors and t</w:t>
      </w:r>
      <w:r w:rsidR="0002679B" w:rsidRPr="000977DE">
        <w:rPr>
          <w:sz w:val="24"/>
          <w:szCs w:val="24"/>
        </w:rPr>
        <w:t>hen to constrain these ETFs to three</w:t>
      </w:r>
      <w:r w:rsidRPr="000977DE">
        <w:rPr>
          <w:sz w:val="24"/>
          <w:szCs w:val="24"/>
        </w:rPr>
        <w:t xml:space="preserve"> individual criteria (namely; Market Capitalisation</w:t>
      </w:r>
      <w:r w:rsidR="007A1696">
        <w:rPr>
          <w:sz w:val="24"/>
          <w:szCs w:val="24"/>
        </w:rPr>
        <w:t xml:space="preserve"> (market cap)</w:t>
      </w:r>
      <w:r w:rsidRPr="000977DE">
        <w:rPr>
          <w:sz w:val="24"/>
          <w:szCs w:val="24"/>
        </w:rPr>
        <w:t xml:space="preserve">, Minimum Variance and Maximum Number of Bets). </w:t>
      </w:r>
      <w:r w:rsidR="0002679B" w:rsidRPr="000977DE">
        <w:rPr>
          <w:sz w:val="24"/>
          <w:szCs w:val="24"/>
        </w:rPr>
        <w:t xml:space="preserve">The ETFs shall be created based on the data of the JSE Top40 equities between 01 July 2003 and 31 August 2016. </w:t>
      </w:r>
    </w:p>
    <w:p w:rsidR="004F5FBC" w:rsidRPr="000977DE" w:rsidRDefault="005D451F" w:rsidP="004F5FBC">
      <w:pPr>
        <w:jc w:val="both"/>
        <w:rPr>
          <w:sz w:val="24"/>
          <w:szCs w:val="24"/>
        </w:rPr>
      </w:pPr>
      <w:r w:rsidRPr="000977DE">
        <w:rPr>
          <w:sz w:val="24"/>
          <w:szCs w:val="24"/>
        </w:rPr>
        <w:t>Once the 12 ETFs have be</w:t>
      </w:r>
      <w:r w:rsidR="0009001D" w:rsidRPr="000977DE">
        <w:rPr>
          <w:sz w:val="24"/>
          <w:szCs w:val="24"/>
        </w:rPr>
        <w:t>en created, an in depth discussion on their economic viability and performance</w:t>
      </w:r>
      <w:r w:rsidR="0002679B" w:rsidRPr="000977DE">
        <w:rPr>
          <w:sz w:val="24"/>
          <w:szCs w:val="24"/>
        </w:rPr>
        <w:t xml:space="preserve"> takes place. </w:t>
      </w:r>
      <w:r w:rsidR="004F5FBC" w:rsidRPr="000977DE">
        <w:rPr>
          <w:sz w:val="24"/>
          <w:szCs w:val="24"/>
        </w:rPr>
        <w:t xml:space="preserve"> The discussion is from the point of view of a Risk Manager working for a market-maker company.</w:t>
      </w:r>
    </w:p>
    <w:p w:rsidR="004F5FBC" w:rsidRDefault="004F5FBC">
      <w:pPr>
        <w:rPr>
          <w:sz w:val="28"/>
        </w:rPr>
      </w:pPr>
      <w:r>
        <w:rPr>
          <w:sz w:val="28"/>
        </w:rPr>
        <w:br w:type="page"/>
      </w:r>
    </w:p>
    <w:p w:rsidR="005D451F" w:rsidRDefault="004F5FBC" w:rsidP="004F5FBC">
      <w:pPr>
        <w:pStyle w:val="Heading1"/>
        <w:numPr>
          <w:ilvl w:val="0"/>
          <w:numId w:val="13"/>
        </w:numPr>
        <w:rPr>
          <w:b/>
          <w:color w:val="000000" w:themeColor="text1"/>
        </w:rPr>
      </w:pPr>
      <w:r w:rsidRPr="004F5FBC">
        <w:rPr>
          <w:b/>
          <w:color w:val="000000" w:themeColor="text1"/>
        </w:rPr>
        <w:lastRenderedPageBreak/>
        <w:t>Literature review</w:t>
      </w:r>
    </w:p>
    <w:p w:rsidR="004F5FBC" w:rsidRPr="004F5FBC" w:rsidRDefault="004F5FBC" w:rsidP="004F5FBC">
      <w:pPr>
        <w:rPr>
          <w:color w:val="000000" w:themeColor="text1"/>
        </w:rPr>
      </w:pPr>
    </w:p>
    <w:p w:rsidR="004F5FBC" w:rsidRDefault="0085775D" w:rsidP="00F24234">
      <w:pPr>
        <w:pStyle w:val="Heading2"/>
        <w:numPr>
          <w:ilvl w:val="1"/>
          <w:numId w:val="15"/>
        </w:numPr>
        <w:rPr>
          <w:color w:val="000000" w:themeColor="text1"/>
        </w:rPr>
      </w:pPr>
      <w:r>
        <w:rPr>
          <w:color w:val="000000" w:themeColor="text1"/>
        </w:rPr>
        <w:t xml:space="preserve">Fundamentals and </w:t>
      </w:r>
      <w:r w:rsidRPr="0085775D">
        <w:rPr>
          <w:color w:val="000000" w:themeColor="text1"/>
        </w:rPr>
        <w:t xml:space="preserve">market mechanics of </w:t>
      </w:r>
      <w:r>
        <w:rPr>
          <w:color w:val="000000" w:themeColor="text1"/>
        </w:rPr>
        <w:t>Exchange Traded Funds (ETFs)</w:t>
      </w:r>
    </w:p>
    <w:p w:rsidR="00F24234" w:rsidRPr="00CF19DA" w:rsidRDefault="00F24234" w:rsidP="00F24234">
      <w:pPr>
        <w:pStyle w:val="ListParagraph"/>
        <w:numPr>
          <w:ilvl w:val="0"/>
          <w:numId w:val="16"/>
        </w:numPr>
        <w:rPr>
          <w:highlight w:val="lightGray"/>
        </w:rPr>
      </w:pPr>
      <w:r w:rsidRPr="00CF19DA">
        <w:rPr>
          <w:highlight w:val="lightGray"/>
        </w:rPr>
        <w:t>Can hold a variety of stocks/bonds/commods but for this project we just look at equities</w:t>
      </w:r>
    </w:p>
    <w:p w:rsidR="00F24234" w:rsidRPr="00CF19DA" w:rsidRDefault="00F24234" w:rsidP="00F24234">
      <w:pPr>
        <w:pStyle w:val="ListParagraph"/>
        <w:numPr>
          <w:ilvl w:val="0"/>
          <w:numId w:val="16"/>
        </w:numPr>
        <w:rPr>
          <w:highlight w:val="lightGray"/>
        </w:rPr>
      </w:pPr>
      <w:r w:rsidRPr="00CF19DA">
        <w:rPr>
          <w:highlight w:val="lightGray"/>
        </w:rPr>
        <w:t>Can track a certain sector or a certain aspect. E.g satrix Fini and JSE TOP40</w:t>
      </w:r>
    </w:p>
    <w:p w:rsidR="00F24234" w:rsidRPr="00CF19DA" w:rsidRDefault="00F24234" w:rsidP="00F24234">
      <w:pPr>
        <w:pStyle w:val="ListParagraph"/>
        <w:numPr>
          <w:ilvl w:val="0"/>
          <w:numId w:val="16"/>
        </w:numPr>
        <w:rPr>
          <w:highlight w:val="lightGray"/>
        </w:rPr>
      </w:pPr>
      <w:r w:rsidRPr="00CF19DA">
        <w:rPr>
          <w:highlight w:val="lightGray"/>
        </w:rPr>
        <w:t>Creation units mechanism.</w:t>
      </w:r>
    </w:p>
    <w:p w:rsidR="00F24234" w:rsidRPr="009C54B4" w:rsidRDefault="00F24234" w:rsidP="00F24234">
      <w:pPr>
        <w:pStyle w:val="ListParagraph"/>
        <w:numPr>
          <w:ilvl w:val="0"/>
          <w:numId w:val="16"/>
        </w:numPr>
        <w:rPr>
          <w:highlight w:val="lightGray"/>
        </w:rPr>
      </w:pPr>
      <w:r w:rsidRPr="009C54B4">
        <w:rPr>
          <w:highlight w:val="lightGray"/>
        </w:rPr>
        <w:t>Differences between ETF and mutual funds</w:t>
      </w:r>
    </w:p>
    <w:p w:rsidR="00E531B1" w:rsidRPr="009C54B4" w:rsidRDefault="00E531B1" w:rsidP="00E531B1">
      <w:pPr>
        <w:pStyle w:val="ListParagraph"/>
        <w:numPr>
          <w:ilvl w:val="0"/>
          <w:numId w:val="16"/>
        </w:numPr>
        <w:rPr>
          <w:highlight w:val="lightGray"/>
        </w:rPr>
      </w:pPr>
      <w:r w:rsidRPr="009C54B4">
        <w:rPr>
          <w:highlight w:val="lightGray"/>
        </w:rPr>
        <w:t>Helps retailers/individuals buy sectors without heavy transaction fees</w:t>
      </w:r>
    </w:p>
    <w:p w:rsidR="00E531B1" w:rsidRPr="009C54B4" w:rsidRDefault="00E531B1" w:rsidP="00E531B1">
      <w:pPr>
        <w:pStyle w:val="ListParagraph"/>
        <w:numPr>
          <w:ilvl w:val="0"/>
          <w:numId w:val="16"/>
        </w:numPr>
        <w:rPr>
          <w:highlight w:val="lightGray"/>
        </w:rPr>
      </w:pPr>
      <w:r w:rsidRPr="009C54B4">
        <w:rPr>
          <w:highlight w:val="lightGray"/>
        </w:rPr>
        <w:t>Tax benefits</w:t>
      </w:r>
    </w:p>
    <w:p w:rsidR="00DB28C0" w:rsidRPr="000977DE" w:rsidRDefault="00DB28C0" w:rsidP="007A1696">
      <w:pPr>
        <w:jc w:val="both"/>
        <w:rPr>
          <w:sz w:val="24"/>
          <w:szCs w:val="24"/>
        </w:rPr>
      </w:pPr>
      <w:r w:rsidRPr="000977DE">
        <w:rPr>
          <w:sz w:val="24"/>
          <w:szCs w:val="24"/>
        </w:rPr>
        <w:t>Investing in too few stocks can often lead to a large variance in returns especially if the few selected equities all lie within the same sector of the market. For example if one were to invest in a few commodity based companies and due to a large strike on at a different companies mine, the market could have a sentimental shift on the commodity sector as a whole. This will lead to a general drop in share price for all the commodity-based companies.</w:t>
      </w:r>
      <w:r w:rsidR="000977DE" w:rsidRPr="000977DE">
        <w:rPr>
          <w:sz w:val="24"/>
          <w:szCs w:val="24"/>
        </w:rPr>
        <w:t xml:space="preserve"> </w:t>
      </w:r>
    </w:p>
    <w:p w:rsidR="000977DE" w:rsidRPr="000977DE" w:rsidRDefault="000977DE" w:rsidP="007A1696">
      <w:pPr>
        <w:jc w:val="both"/>
        <w:rPr>
          <w:sz w:val="24"/>
          <w:szCs w:val="24"/>
        </w:rPr>
      </w:pPr>
      <w:r w:rsidRPr="000977DE">
        <w:rPr>
          <w:sz w:val="24"/>
          <w:szCs w:val="24"/>
        </w:rPr>
        <w:t xml:space="preserve">A simple solution to this problem is the financial product called Exchange Traded Funds (ETFs). ETFs can hold a variety of underlying assets from equities, bonds, commodities and even derivatives. For the purpose of this project, we will only look at ETFs that hold a variety of equities. </w:t>
      </w:r>
    </w:p>
    <w:p w:rsidR="000977DE" w:rsidRDefault="000977DE" w:rsidP="007A1696">
      <w:pPr>
        <w:jc w:val="both"/>
        <w:rPr>
          <w:sz w:val="24"/>
          <w:szCs w:val="24"/>
        </w:rPr>
      </w:pPr>
      <w:r w:rsidRPr="000977DE">
        <w:rPr>
          <w:sz w:val="24"/>
          <w:szCs w:val="24"/>
        </w:rPr>
        <w:t>These ETFs are typically based on a certain index, sec</w:t>
      </w:r>
      <w:r>
        <w:rPr>
          <w:sz w:val="24"/>
          <w:szCs w:val="24"/>
        </w:rPr>
        <w:t xml:space="preserve">tor and/or aspect. </w:t>
      </w:r>
      <w:r w:rsidR="0079696E">
        <w:rPr>
          <w:sz w:val="24"/>
          <w:szCs w:val="24"/>
        </w:rPr>
        <w:t>An</w:t>
      </w:r>
      <w:r>
        <w:rPr>
          <w:sz w:val="24"/>
          <w:szCs w:val="24"/>
        </w:rPr>
        <w:t xml:space="preserve"> </w:t>
      </w:r>
      <w:r w:rsidR="0079696E">
        <w:rPr>
          <w:sz w:val="24"/>
          <w:szCs w:val="24"/>
        </w:rPr>
        <w:t xml:space="preserve">example of an ETF that is based on an index and a certain aspect is the JSE Top40. It </w:t>
      </w:r>
      <w:r>
        <w:rPr>
          <w:sz w:val="24"/>
          <w:szCs w:val="24"/>
        </w:rPr>
        <w:t xml:space="preserve">represents the top 40 </w:t>
      </w:r>
      <w:r w:rsidR="0079696E">
        <w:rPr>
          <w:sz w:val="24"/>
          <w:szCs w:val="24"/>
        </w:rPr>
        <w:t xml:space="preserve">companies based on their market cap (number of shares in issue multiplied by the price of each share). An example of an ETF that is based on a sector and </w:t>
      </w:r>
      <w:r w:rsidR="00140406">
        <w:rPr>
          <w:sz w:val="24"/>
          <w:szCs w:val="24"/>
        </w:rPr>
        <w:t xml:space="preserve">the same aspect is the </w:t>
      </w:r>
      <w:r w:rsidR="00B0534F">
        <w:rPr>
          <w:sz w:val="24"/>
          <w:szCs w:val="24"/>
        </w:rPr>
        <w:t>Satrix Fini</w:t>
      </w:r>
      <w:r w:rsidR="00140406">
        <w:rPr>
          <w:sz w:val="24"/>
          <w:szCs w:val="24"/>
        </w:rPr>
        <w:t xml:space="preserve">, which represents the top 15 financial companies by market cap. </w:t>
      </w:r>
    </w:p>
    <w:p w:rsidR="00B0534F" w:rsidRPr="000977DE" w:rsidRDefault="009318E6" w:rsidP="007A1696">
      <w:pPr>
        <w:jc w:val="both"/>
        <w:rPr>
          <w:sz w:val="24"/>
          <w:szCs w:val="24"/>
        </w:rPr>
      </w:pPr>
      <w:r>
        <w:rPr>
          <w:sz w:val="24"/>
          <w:szCs w:val="24"/>
        </w:rPr>
        <w:t xml:space="preserve">One might think that since an ETF tracks a large number of shares that it would be very expensive (for the average individual) to but just one ETF, however this is not true at all. To understand why these ETFs do not cost a fortune one must understand the creation unit mechanism. </w:t>
      </w:r>
    </w:p>
    <w:p w:rsidR="00F24234" w:rsidRPr="00514872" w:rsidRDefault="007A1696" w:rsidP="00514872">
      <w:pPr>
        <w:spacing w:line="264" w:lineRule="auto"/>
        <w:jc w:val="both"/>
        <w:rPr>
          <w:sz w:val="24"/>
          <w:szCs w:val="24"/>
        </w:rPr>
      </w:pPr>
      <w:r w:rsidRPr="00514872">
        <w:rPr>
          <w:sz w:val="24"/>
          <w:szCs w:val="24"/>
        </w:rPr>
        <w:t>Looking at the JSE Top40 as an example, the ETF is weighted according to the proportions of each of the companies market cap</w:t>
      </w:r>
      <w:r w:rsidR="00CF19DA" w:rsidRPr="00514872">
        <w:rPr>
          <w:sz w:val="24"/>
          <w:szCs w:val="24"/>
        </w:rPr>
        <w:t>’s</w:t>
      </w:r>
      <w:r w:rsidRPr="00514872">
        <w:rPr>
          <w:sz w:val="24"/>
          <w:szCs w:val="24"/>
        </w:rPr>
        <w:t xml:space="preserve"> </w:t>
      </w:r>
      <w:r w:rsidR="00CF19DA" w:rsidRPr="00514872">
        <w:rPr>
          <w:sz w:val="24"/>
          <w:szCs w:val="24"/>
        </w:rPr>
        <w:t>relative</w:t>
      </w:r>
      <w:r w:rsidRPr="00514872">
        <w:rPr>
          <w:sz w:val="24"/>
          <w:szCs w:val="24"/>
        </w:rPr>
        <w:t xml:space="preserve"> to the market cap of all the </w:t>
      </w:r>
      <w:r w:rsidR="00CF19DA" w:rsidRPr="00514872">
        <w:rPr>
          <w:sz w:val="24"/>
          <w:szCs w:val="24"/>
        </w:rPr>
        <w:t xml:space="preserve">top </w:t>
      </w:r>
      <w:r w:rsidRPr="00514872">
        <w:rPr>
          <w:sz w:val="24"/>
          <w:szCs w:val="24"/>
        </w:rPr>
        <w:t>40 stocks as a whole.</w:t>
      </w:r>
      <w:r w:rsidR="00CF19DA" w:rsidRPr="00514872">
        <w:rPr>
          <w:sz w:val="24"/>
          <w:szCs w:val="24"/>
        </w:rPr>
        <w:t xml:space="preserve"> This leads to arbitrary percentages such as 12.05% for a specific stock. In order to represent exactly 12.05% these ETF’s need to have thousands of shares within one ‘package’ (containing a fairly accurate proportion of each stock). This package is called the creation unit and is sold to an authorised participant (which is usually the market maker). The market maker then divides this creation unit into many segments, where each segment contains the correct proportions of </w:t>
      </w:r>
      <w:r w:rsidR="009C0540" w:rsidRPr="00514872">
        <w:rPr>
          <w:sz w:val="24"/>
          <w:szCs w:val="24"/>
        </w:rPr>
        <w:t xml:space="preserve">the stocks (this leads to essentially selling fractions of shares). Since the creation unit has now been broken up into many smaller pieces, it can be listed on the stock exchange where it is bought and sold by investors/retailers. A depiction of this </w:t>
      </w:r>
      <w:r w:rsidR="00BE044D" w:rsidRPr="00514872">
        <w:rPr>
          <w:sz w:val="24"/>
          <w:szCs w:val="24"/>
        </w:rPr>
        <w:t>is</w:t>
      </w:r>
      <w:r w:rsidR="00514872">
        <w:rPr>
          <w:sz w:val="24"/>
          <w:szCs w:val="24"/>
        </w:rPr>
        <w:t xml:space="preserve"> seen in figure 1</w:t>
      </w:r>
      <w:r w:rsidR="009C0540" w:rsidRPr="00514872">
        <w:rPr>
          <w:sz w:val="24"/>
          <w:szCs w:val="24"/>
        </w:rPr>
        <w:t>.</w:t>
      </w:r>
      <w:r w:rsidR="009C54B4">
        <w:rPr>
          <w:sz w:val="24"/>
          <w:szCs w:val="24"/>
        </w:rPr>
        <w:t xml:space="preserve"> </w:t>
      </w:r>
      <w:r w:rsidR="009C54B4" w:rsidRPr="009C54B4">
        <w:rPr>
          <w:sz w:val="24"/>
          <w:szCs w:val="24"/>
          <w:highlight w:val="yellow"/>
        </w:rPr>
        <w:t>[1]</w:t>
      </w:r>
    </w:p>
    <w:p w:rsidR="00514872" w:rsidRDefault="00514872" w:rsidP="00514872">
      <w:pPr>
        <w:keepNext/>
        <w:jc w:val="both"/>
      </w:pPr>
      <w:r>
        <w:rPr>
          <w:noProof/>
          <w:lang w:eastAsia="en-ZA"/>
        </w:rPr>
        <w:lastRenderedPageBreak/>
        <w:drawing>
          <wp:inline distT="0" distB="0" distL="0" distR="0" wp14:anchorId="21A61C94" wp14:editId="5842C8BA">
            <wp:extent cx="5648325" cy="3895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3895725"/>
                    </a:xfrm>
                    <a:prstGeom prst="rect">
                      <a:avLst/>
                    </a:prstGeom>
                  </pic:spPr>
                </pic:pic>
              </a:graphicData>
            </a:graphic>
          </wp:inline>
        </w:drawing>
      </w:r>
    </w:p>
    <w:p w:rsidR="00514872" w:rsidRDefault="00514872" w:rsidP="00514872">
      <w:pPr>
        <w:pStyle w:val="Caption"/>
        <w:jc w:val="center"/>
      </w:pPr>
      <w:r>
        <w:t xml:space="preserve">Figure </w:t>
      </w:r>
      <w:fldSimple w:instr=" SEQ Figure \* ARABIC ">
        <w:r>
          <w:rPr>
            <w:noProof/>
          </w:rPr>
          <w:t>1</w:t>
        </w:r>
      </w:fldSimple>
      <w:r>
        <w:t xml:space="preserve"> - Diagram representing the flow of trade of an ETF</w:t>
      </w:r>
    </w:p>
    <w:p w:rsidR="009C0540" w:rsidRPr="009C54B4" w:rsidRDefault="00E531B1" w:rsidP="009C54B4">
      <w:pPr>
        <w:jc w:val="both"/>
        <w:rPr>
          <w:sz w:val="24"/>
          <w:szCs w:val="24"/>
        </w:rPr>
      </w:pPr>
      <w:r w:rsidRPr="009C54B4">
        <w:rPr>
          <w:sz w:val="24"/>
          <w:szCs w:val="24"/>
        </w:rPr>
        <w:t>There are a few advantages that stem out of this creation unit process such as the</w:t>
      </w:r>
      <w:r w:rsidR="00ED1D30" w:rsidRPr="009C54B4">
        <w:rPr>
          <w:sz w:val="24"/>
          <w:szCs w:val="24"/>
        </w:rPr>
        <w:t xml:space="preserve"> much-reduced</w:t>
      </w:r>
      <w:r w:rsidRPr="009C54B4">
        <w:rPr>
          <w:sz w:val="24"/>
          <w:szCs w:val="24"/>
        </w:rPr>
        <w:t xml:space="preserve"> price of the underlying index. This leads to affordable shares that the average retailer/investor can trade without the burden of </w:t>
      </w:r>
      <w:r w:rsidR="00ED1D30" w:rsidRPr="009C54B4">
        <w:rPr>
          <w:sz w:val="24"/>
          <w:szCs w:val="24"/>
        </w:rPr>
        <w:t xml:space="preserve">heavy </w:t>
      </w:r>
      <w:r w:rsidRPr="009C54B4">
        <w:rPr>
          <w:sz w:val="24"/>
          <w:szCs w:val="24"/>
        </w:rPr>
        <w:t>transaction fees or the time needed to trade each of the underlying shares.</w:t>
      </w:r>
      <w:r w:rsidR="00ED1D30" w:rsidRPr="009C54B4">
        <w:rPr>
          <w:sz w:val="24"/>
          <w:szCs w:val="24"/>
        </w:rPr>
        <w:t xml:space="preserve"> </w:t>
      </w:r>
    </w:p>
    <w:p w:rsidR="00ED1D30" w:rsidRPr="009C54B4" w:rsidRDefault="00ED1D30" w:rsidP="009C54B4">
      <w:pPr>
        <w:jc w:val="both"/>
        <w:rPr>
          <w:sz w:val="24"/>
          <w:szCs w:val="24"/>
        </w:rPr>
      </w:pPr>
      <w:r w:rsidRPr="009C54B4">
        <w:rPr>
          <w:sz w:val="24"/>
          <w:szCs w:val="24"/>
        </w:rPr>
        <w:t>Another advantage to ETFs is the</w:t>
      </w:r>
      <w:r w:rsidR="009C54B4" w:rsidRPr="009C54B4">
        <w:rPr>
          <w:sz w:val="24"/>
          <w:szCs w:val="24"/>
        </w:rPr>
        <w:t xml:space="preserve"> possible benefit of lower taxes when compared to investment funds such as a mutual fund. Mutual funds similarly try to track a chosen index but if one wants to invest through a mutual fund, one can only put in/take out their money at the end of trade, whereas since an ETF is listed on the exchange there is always someone willing to trade with you during the day. </w:t>
      </w:r>
      <w:r w:rsidR="009C54B4" w:rsidRPr="009C54B4">
        <w:rPr>
          <w:sz w:val="24"/>
          <w:szCs w:val="24"/>
          <w:highlight w:val="yellow"/>
        </w:rPr>
        <w:t>[1]</w:t>
      </w:r>
    </w:p>
    <w:p w:rsidR="004F5FBC" w:rsidRDefault="004F5FBC" w:rsidP="004F5FBC"/>
    <w:p w:rsidR="004F5FBC" w:rsidRPr="004F5FBC" w:rsidRDefault="004F5FBC" w:rsidP="004F5FBC"/>
    <w:p w:rsidR="004F5FBC" w:rsidRDefault="00E531B1" w:rsidP="00F24234">
      <w:pPr>
        <w:pStyle w:val="Heading2"/>
        <w:numPr>
          <w:ilvl w:val="1"/>
          <w:numId w:val="15"/>
        </w:numPr>
        <w:rPr>
          <w:color w:val="000000" w:themeColor="text1"/>
        </w:rPr>
      </w:pPr>
      <w:r>
        <w:rPr>
          <w:color w:val="000000" w:themeColor="text1"/>
        </w:rPr>
        <w:t>The construction and maintenance of ETFs such as the JSE Top40</w:t>
      </w:r>
    </w:p>
    <w:p w:rsidR="004F5FBC" w:rsidRDefault="00E531B1" w:rsidP="004F5FBC">
      <w:pPr>
        <w:pStyle w:val="ListParagraph"/>
        <w:numPr>
          <w:ilvl w:val="0"/>
          <w:numId w:val="14"/>
        </w:numPr>
        <w:rPr>
          <w:highlight w:val="yellow"/>
        </w:rPr>
      </w:pPr>
      <w:r w:rsidRPr="00E531B1">
        <w:rPr>
          <w:highlight w:val="yellow"/>
        </w:rPr>
        <w:t xml:space="preserve"> </w:t>
      </w:r>
      <w:r w:rsidR="004F5FBC" w:rsidRPr="00E531B1">
        <w:rPr>
          <w:highlight w:val="yellow"/>
        </w:rPr>
        <w:t>(Market mechanics) rebalanced every 4months</w:t>
      </w:r>
      <w:r>
        <w:rPr>
          <w:highlight w:val="yellow"/>
        </w:rPr>
        <w:t>***</w:t>
      </w:r>
    </w:p>
    <w:p w:rsidR="00E531B1" w:rsidRPr="00E531B1" w:rsidRDefault="00E531B1" w:rsidP="00E531B1">
      <w:pPr>
        <w:pStyle w:val="ListParagraph"/>
        <w:numPr>
          <w:ilvl w:val="0"/>
          <w:numId w:val="14"/>
        </w:numPr>
        <w:rPr>
          <w:highlight w:val="yellow"/>
        </w:rPr>
      </w:pPr>
      <w:r>
        <w:rPr>
          <w:highlight w:val="yellow"/>
        </w:rPr>
        <w:t>Rules of construction of ETFs such as the JSE top40***</w:t>
      </w:r>
    </w:p>
    <w:p w:rsidR="00354B86" w:rsidRDefault="00354B86" w:rsidP="00354B86">
      <w:pPr>
        <w:ind w:left="750"/>
      </w:pPr>
      <w:r>
        <w:rPr>
          <w:highlight w:val="yellow"/>
        </w:rPr>
        <w:t xml:space="preserve">Sources: </w:t>
      </w:r>
    </w:p>
    <w:p w:rsidR="00354B86" w:rsidRDefault="00BE7412" w:rsidP="00354B86">
      <w:pPr>
        <w:ind w:left="750"/>
      </w:pPr>
      <w:hyperlink r:id="rId11" w:history="1">
        <w:r w:rsidR="00354B86" w:rsidRPr="00311B1C">
          <w:rPr>
            <w:rStyle w:val="Hyperlink"/>
          </w:rPr>
          <w:t>https://www.jse.co.za/content/JSERulesPoliciesandRegulationItems/FTSE%20JSE%20Ground%20Rules%20.pdf</w:t>
        </w:r>
      </w:hyperlink>
      <w:r w:rsidR="00354B86">
        <w:t xml:space="preserve"> </w:t>
      </w:r>
    </w:p>
    <w:p w:rsidR="009249B5" w:rsidRPr="00354B86" w:rsidRDefault="009249B5" w:rsidP="00354B86">
      <w:pPr>
        <w:ind w:left="750"/>
        <w:rPr>
          <w:highlight w:val="yellow"/>
        </w:rPr>
      </w:pPr>
    </w:p>
    <w:p w:rsidR="003B0D84" w:rsidRPr="004E79A4" w:rsidRDefault="009C54B4" w:rsidP="004E79A4">
      <w:pPr>
        <w:jc w:val="both"/>
        <w:rPr>
          <w:sz w:val="24"/>
          <w:szCs w:val="24"/>
        </w:rPr>
      </w:pPr>
      <w:r w:rsidRPr="004E79A4">
        <w:rPr>
          <w:sz w:val="24"/>
          <w:szCs w:val="24"/>
        </w:rPr>
        <w:lastRenderedPageBreak/>
        <w:t>It is important to note that ETFs that are constructed with a specific aspect in mind</w:t>
      </w:r>
      <w:r w:rsidR="00E14CAD" w:rsidRPr="004E79A4">
        <w:rPr>
          <w:sz w:val="24"/>
          <w:szCs w:val="24"/>
        </w:rPr>
        <w:t xml:space="preserve"> and</w:t>
      </w:r>
      <w:r w:rsidRPr="004E79A4">
        <w:rPr>
          <w:sz w:val="24"/>
          <w:szCs w:val="24"/>
        </w:rPr>
        <w:t xml:space="preserve"> </w:t>
      </w:r>
      <w:r w:rsidR="00C818AF" w:rsidRPr="004E79A4">
        <w:rPr>
          <w:sz w:val="24"/>
          <w:szCs w:val="24"/>
        </w:rPr>
        <w:t>needs to constantly track that aspect. If that aspect (such as market capitalisation) changes with time then it makes sense that the ETF will need to be re-evaluated and reconstructed. In order to avoid tedious reconstructions and transaction fees</w:t>
      </w:r>
      <w:r w:rsidR="00770633" w:rsidRPr="004E79A4">
        <w:rPr>
          <w:sz w:val="24"/>
          <w:szCs w:val="24"/>
        </w:rPr>
        <w:t>,</w:t>
      </w:r>
      <w:r w:rsidR="00C818AF" w:rsidRPr="004E79A4">
        <w:rPr>
          <w:sz w:val="24"/>
          <w:szCs w:val="24"/>
        </w:rPr>
        <w:t xml:space="preserve"> these ETF reconstructions are typically performed once every 3 months (</w:t>
      </w:r>
      <w:r w:rsidR="00770633" w:rsidRPr="004E79A4">
        <w:rPr>
          <w:sz w:val="24"/>
          <w:szCs w:val="24"/>
        </w:rPr>
        <w:t>quaterly</w:t>
      </w:r>
      <w:r w:rsidR="00C818AF" w:rsidRPr="004E79A4">
        <w:rPr>
          <w:sz w:val="24"/>
          <w:szCs w:val="24"/>
        </w:rPr>
        <w:t>)</w:t>
      </w:r>
      <w:r w:rsidR="00C818AF" w:rsidRPr="004E79A4">
        <w:rPr>
          <w:sz w:val="24"/>
          <w:szCs w:val="24"/>
          <w:highlight w:val="yellow"/>
        </w:rPr>
        <w:t>[insert reference].</w:t>
      </w:r>
      <w:r w:rsidR="00C818AF" w:rsidRPr="004E79A4">
        <w:rPr>
          <w:sz w:val="24"/>
          <w:szCs w:val="24"/>
        </w:rPr>
        <w:t xml:space="preserve"> Additionally there </w:t>
      </w:r>
      <w:r w:rsidR="00770633" w:rsidRPr="004E79A4">
        <w:rPr>
          <w:sz w:val="24"/>
          <w:szCs w:val="24"/>
        </w:rPr>
        <w:t>are</w:t>
      </w:r>
      <w:r w:rsidR="00C818AF" w:rsidRPr="004E79A4">
        <w:rPr>
          <w:sz w:val="24"/>
          <w:szCs w:val="24"/>
        </w:rPr>
        <w:t xml:space="preserve"> a few rules to follow with the construction of an ETF as well as some indirect factors to consider.</w:t>
      </w:r>
    </w:p>
    <w:p w:rsidR="00172081" w:rsidRPr="004E79A4" w:rsidRDefault="00770633" w:rsidP="004E79A4">
      <w:pPr>
        <w:jc w:val="both"/>
        <w:rPr>
          <w:sz w:val="24"/>
          <w:szCs w:val="24"/>
        </w:rPr>
      </w:pPr>
      <w:r w:rsidRPr="004E79A4">
        <w:rPr>
          <w:sz w:val="24"/>
          <w:szCs w:val="24"/>
        </w:rPr>
        <w:t>The three main factors for the ETF construction/reconstruction are the eligibility, free float and liquidity of the underlying securities. Some of the core points of eligibility is that the security must trade on the JSE or on any other African Stock Exchange that adopts a trading system approved by the JSE and that all other ETFs or funds are not</w:t>
      </w:r>
      <w:r w:rsidR="00172081" w:rsidRPr="004E79A4">
        <w:rPr>
          <w:sz w:val="24"/>
          <w:szCs w:val="24"/>
        </w:rPr>
        <w:t xml:space="preserve"> eligible to be included. </w:t>
      </w:r>
    </w:p>
    <w:p w:rsidR="00172081" w:rsidRPr="004E79A4" w:rsidRDefault="00172081" w:rsidP="004E79A4">
      <w:pPr>
        <w:jc w:val="both"/>
        <w:rPr>
          <w:sz w:val="24"/>
          <w:szCs w:val="24"/>
        </w:rPr>
      </w:pPr>
      <w:r w:rsidRPr="004E79A4">
        <w:rPr>
          <w:sz w:val="24"/>
          <w:szCs w:val="24"/>
        </w:rPr>
        <w:t xml:space="preserve">When there are multiple lines of equity capital (ie companies owned by a parent company or </w:t>
      </w:r>
      <w:r w:rsidRPr="004E79A4">
        <w:rPr>
          <w:sz w:val="24"/>
          <w:szCs w:val="24"/>
          <w:highlight w:val="lightGray"/>
        </w:rPr>
        <w:t>dual listed companies</w:t>
      </w:r>
      <w:r w:rsidRPr="004E79A4">
        <w:rPr>
          <w:sz w:val="24"/>
          <w:szCs w:val="24"/>
        </w:rPr>
        <w:t xml:space="preserve">) then both lines/companies are listed and priced on the JSE provided that the secondary line’s/company’s market capitalisation is &gt;=25% of the primary line’s/company’s market capitalisation. In this case, the two companies are treated as one and the company that is traded in ZAR will be chosen to be eligible. For </w:t>
      </w:r>
      <w:r w:rsidR="000D3ED0" w:rsidRPr="004E79A4">
        <w:rPr>
          <w:sz w:val="24"/>
          <w:szCs w:val="24"/>
        </w:rPr>
        <w:t>example,</w:t>
      </w:r>
      <w:r w:rsidRPr="004E79A4">
        <w:rPr>
          <w:sz w:val="24"/>
          <w:szCs w:val="24"/>
        </w:rPr>
        <w:t xml:space="preserve"> Investec PLC and Investec Ltd are </w:t>
      </w:r>
      <w:r w:rsidR="000D3ED0" w:rsidRPr="004E79A4">
        <w:rPr>
          <w:sz w:val="24"/>
          <w:szCs w:val="24"/>
        </w:rPr>
        <w:t>primary, secondary lines that are both listed on the JSE,</w:t>
      </w:r>
      <w:r w:rsidRPr="004E79A4">
        <w:rPr>
          <w:sz w:val="24"/>
          <w:szCs w:val="24"/>
        </w:rPr>
        <w:t xml:space="preserve"> and although Investec PLC has a larger market capitalisation</w:t>
      </w:r>
      <w:r w:rsidR="000D3ED0" w:rsidRPr="004E79A4">
        <w:rPr>
          <w:sz w:val="24"/>
          <w:szCs w:val="24"/>
        </w:rPr>
        <w:t>, Investec Ltd is eligible and part of the JSE Top 40 index (</w:t>
      </w:r>
      <w:r w:rsidR="000D3ED0" w:rsidRPr="004E79A4">
        <w:rPr>
          <w:sz w:val="24"/>
          <w:szCs w:val="24"/>
          <w:highlight w:val="lightGray"/>
        </w:rPr>
        <w:t>Data taken from Bloomberg June 2008)</w:t>
      </w:r>
      <w:r w:rsidR="000D3ED0" w:rsidRPr="004E79A4">
        <w:rPr>
          <w:sz w:val="24"/>
          <w:szCs w:val="24"/>
        </w:rPr>
        <w:t>.</w:t>
      </w:r>
    </w:p>
    <w:p w:rsidR="008C4C0F" w:rsidRPr="004E79A4" w:rsidRDefault="000711B3" w:rsidP="004E79A4">
      <w:pPr>
        <w:jc w:val="both"/>
        <w:rPr>
          <w:sz w:val="24"/>
          <w:szCs w:val="24"/>
        </w:rPr>
      </w:pPr>
      <w:r w:rsidRPr="004E79A4">
        <w:rPr>
          <w:sz w:val="24"/>
          <w:szCs w:val="24"/>
        </w:rPr>
        <w:t>A companies free float is the amount of shares (as a percentage of the total number of shares) that is in issue and freely traded on the JSE. The shares that is not part of a company’s free float include</w:t>
      </w:r>
      <w:r w:rsidR="008C4C0F" w:rsidRPr="004E79A4">
        <w:rPr>
          <w:sz w:val="24"/>
          <w:szCs w:val="24"/>
        </w:rPr>
        <w:t xml:space="preserve"> shares that are directly owned by; state, regional, government, directors or any employees of the underlying company. </w:t>
      </w:r>
    </w:p>
    <w:p w:rsidR="000D3ED0" w:rsidRPr="004E79A4" w:rsidRDefault="008C4C0F" w:rsidP="004E79A4">
      <w:pPr>
        <w:jc w:val="both"/>
        <w:rPr>
          <w:sz w:val="24"/>
          <w:szCs w:val="24"/>
        </w:rPr>
      </w:pPr>
      <w:r w:rsidRPr="004E79A4">
        <w:rPr>
          <w:sz w:val="24"/>
          <w:szCs w:val="24"/>
        </w:rPr>
        <w:t xml:space="preserve">If a company A holds 10% or more of another company B’s total shares then the percentage owned by company A is rounded up to the nearest whole percent and restricted from the free float of company B. This ruling holds for secondary lines </w:t>
      </w:r>
      <w:r w:rsidR="004E79A4" w:rsidRPr="004E79A4">
        <w:rPr>
          <w:sz w:val="24"/>
          <w:szCs w:val="24"/>
        </w:rPr>
        <w:t>as well as wealth funds or former employees of the underlying company.</w:t>
      </w:r>
    </w:p>
    <w:p w:rsidR="004E79A4" w:rsidRDefault="004E79A4" w:rsidP="004E79A4">
      <w:pPr>
        <w:jc w:val="both"/>
        <w:rPr>
          <w:sz w:val="24"/>
          <w:szCs w:val="24"/>
        </w:rPr>
      </w:pPr>
      <w:r w:rsidRPr="004E79A4">
        <w:rPr>
          <w:sz w:val="24"/>
          <w:szCs w:val="24"/>
        </w:rPr>
        <w:t xml:space="preserve">In order for a company to be eligible for inclusion to the index, it must have a free float of 15% or greater (exception to the rule seen at 4.3.4 of </w:t>
      </w:r>
      <w:r w:rsidRPr="004E79A4">
        <w:rPr>
          <w:sz w:val="24"/>
          <w:szCs w:val="24"/>
          <w:highlight w:val="lightGray"/>
        </w:rPr>
        <w:t>[JSE document reference number]</w:t>
      </w:r>
      <w:r w:rsidRPr="004E79A4">
        <w:rPr>
          <w:sz w:val="24"/>
          <w:szCs w:val="24"/>
        </w:rPr>
        <w:t xml:space="preserve">). If the company meets the free float requirements then </w:t>
      </w:r>
      <w:r w:rsidR="00BE7412">
        <w:rPr>
          <w:sz w:val="24"/>
          <w:szCs w:val="24"/>
        </w:rPr>
        <w:t>its</w:t>
      </w:r>
      <w:bookmarkStart w:id="0" w:name="_GoBack"/>
      <w:bookmarkEnd w:id="0"/>
      <w:r w:rsidR="00BE7412">
        <w:rPr>
          <w:sz w:val="24"/>
          <w:szCs w:val="24"/>
        </w:rPr>
        <w:t xml:space="preserve"> </w:t>
      </w:r>
      <w:r w:rsidRPr="004E79A4">
        <w:rPr>
          <w:sz w:val="24"/>
          <w:szCs w:val="24"/>
        </w:rPr>
        <w:t>market capitalisation</w:t>
      </w:r>
      <w:r w:rsidR="00BE7412">
        <w:rPr>
          <w:sz w:val="24"/>
          <w:szCs w:val="24"/>
        </w:rPr>
        <w:t xml:space="preserve"> weighting</w:t>
      </w:r>
      <w:r w:rsidRPr="004E79A4">
        <w:rPr>
          <w:sz w:val="24"/>
          <w:szCs w:val="24"/>
        </w:rPr>
        <w:t xml:space="preserve"> is based on the total number of shares </w:t>
      </w:r>
      <w:r w:rsidR="00BE7412">
        <w:rPr>
          <w:sz w:val="24"/>
          <w:szCs w:val="24"/>
        </w:rPr>
        <w:t>multiplied by the corresponding free float factor.</w:t>
      </w:r>
    </w:p>
    <w:p w:rsidR="004E79A4" w:rsidRDefault="004E79A4" w:rsidP="004E79A4">
      <w:pPr>
        <w:jc w:val="both"/>
        <w:rPr>
          <w:sz w:val="24"/>
          <w:szCs w:val="24"/>
        </w:rPr>
      </w:pPr>
      <w:r>
        <w:rPr>
          <w:sz w:val="24"/>
          <w:szCs w:val="24"/>
        </w:rPr>
        <w:t xml:space="preserve">The last key factor for consideration is the liquidity of the shares. Liquidity is important </w:t>
      </w:r>
      <w:r w:rsidRPr="004E79A4">
        <w:rPr>
          <w:sz w:val="24"/>
          <w:szCs w:val="24"/>
        </w:rPr>
        <w:t>because with a lack of liquidity comes a large discrepancy in the fair price of the underlying stock and therefore the ETF.</w:t>
      </w:r>
      <w:r w:rsidR="0004121C">
        <w:rPr>
          <w:sz w:val="24"/>
          <w:szCs w:val="24"/>
        </w:rPr>
        <w:t xml:space="preserve"> </w:t>
      </w:r>
      <w:r w:rsidR="009249B5">
        <w:rPr>
          <w:sz w:val="24"/>
          <w:szCs w:val="24"/>
        </w:rPr>
        <w:t>Note that although ETF reconstructions occur quarterly, liquidity is only reviewed annually (in December). The minimum liquidity required is for the security to be traded enough times such that 0.5% or more of the free float shares have been exchanged per month for 10 of the previous 12 months.</w:t>
      </w:r>
    </w:p>
    <w:p w:rsidR="009249B5" w:rsidRPr="004E79A4" w:rsidRDefault="009249B5" w:rsidP="004E79A4">
      <w:pPr>
        <w:jc w:val="both"/>
        <w:rPr>
          <w:sz w:val="24"/>
          <w:szCs w:val="24"/>
        </w:rPr>
      </w:pPr>
    </w:p>
    <w:p w:rsidR="003B0D84" w:rsidRPr="003B0D84" w:rsidRDefault="003B0D84" w:rsidP="003B0D84"/>
    <w:p w:rsidR="003B0D84" w:rsidRPr="003B0D84" w:rsidRDefault="003B0D84" w:rsidP="003B0D84"/>
    <w:p w:rsidR="003B0D84" w:rsidRDefault="003B0D84"/>
    <w:p w:rsidR="00B54541" w:rsidRDefault="003B0D84" w:rsidP="003B0D84">
      <w:pPr>
        <w:pStyle w:val="Heading1"/>
        <w:numPr>
          <w:ilvl w:val="0"/>
          <w:numId w:val="15"/>
        </w:numPr>
      </w:pPr>
      <w:r>
        <w:t>Theoretical Background</w:t>
      </w:r>
    </w:p>
    <w:p w:rsidR="003B0D84" w:rsidRDefault="003B0D84" w:rsidP="003B0D84">
      <w:pPr>
        <w:tabs>
          <w:tab w:val="left" w:pos="915"/>
        </w:tabs>
      </w:pPr>
      <w:r>
        <w:t>Whatever that is?</w:t>
      </w:r>
    </w:p>
    <w:p w:rsidR="003B0D84" w:rsidRDefault="003B0D84" w:rsidP="003B0D84">
      <w:pPr>
        <w:tabs>
          <w:tab w:val="left" w:pos="915"/>
        </w:tabs>
      </w:pPr>
    </w:p>
    <w:p w:rsidR="009249B5" w:rsidRPr="00E531B1" w:rsidRDefault="009249B5" w:rsidP="009249B5">
      <w:pPr>
        <w:pStyle w:val="ListParagraph"/>
        <w:numPr>
          <w:ilvl w:val="0"/>
          <w:numId w:val="14"/>
        </w:numPr>
        <w:rPr>
          <w:highlight w:val="yellow"/>
        </w:rPr>
      </w:pPr>
      <w:r w:rsidRPr="00E531B1">
        <w:rPr>
          <w:highlight w:val="yellow"/>
        </w:rPr>
        <w:t>Weightings (include how too much of one stock is a bad thing in terms of diversification)</w:t>
      </w:r>
      <w:r>
        <w:rPr>
          <w:highlight w:val="yellow"/>
        </w:rPr>
        <w:t>***</w:t>
      </w:r>
    </w:p>
    <w:p w:rsidR="009249B5" w:rsidRDefault="009249B5" w:rsidP="009249B5">
      <w:pPr>
        <w:pStyle w:val="ListParagraph"/>
        <w:numPr>
          <w:ilvl w:val="0"/>
          <w:numId w:val="14"/>
        </w:numPr>
        <w:rPr>
          <w:highlight w:val="yellow"/>
        </w:rPr>
      </w:pPr>
      <w:r w:rsidRPr="00E531B1">
        <w:rPr>
          <w:highlight w:val="yellow"/>
        </w:rPr>
        <w:t>Weightings (too small weightings/ too many stocks leads to excessive trade costs)</w:t>
      </w:r>
      <w:r>
        <w:rPr>
          <w:highlight w:val="yellow"/>
        </w:rPr>
        <w:t>***</w:t>
      </w:r>
    </w:p>
    <w:p w:rsidR="003B0D84" w:rsidRDefault="003B0D84" w:rsidP="003B0D84">
      <w:pPr>
        <w:tabs>
          <w:tab w:val="left" w:pos="915"/>
        </w:tabs>
      </w:pPr>
    </w:p>
    <w:p w:rsidR="003B0D84" w:rsidRDefault="003B0D84">
      <w:r>
        <w:br w:type="page"/>
      </w:r>
    </w:p>
    <w:p w:rsidR="003B0D84" w:rsidRDefault="003B0D84" w:rsidP="003B0D84">
      <w:pPr>
        <w:pStyle w:val="Heading1"/>
        <w:numPr>
          <w:ilvl w:val="0"/>
          <w:numId w:val="15"/>
        </w:numPr>
      </w:pPr>
      <w:r>
        <w:lastRenderedPageBreak/>
        <w:t>Methodology</w:t>
      </w:r>
    </w:p>
    <w:p w:rsidR="003B0D84" w:rsidRDefault="003B0D84" w:rsidP="003B0D84">
      <w:pPr>
        <w:tabs>
          <w:tab w:val="left" w:pos="915"/>
        </w:tabs>
      </w:pPr>
      <w:r>
        <w:t>&lt;description of work done&gt;</w:t>
      </w:r>
    </w:p>
    <w:p w:rsidR="00D80DE4" w:rsidRPr="00D80DE4" w:rsidRDefault="00D80DE4" w:rsidP="003B0D84">
      <w:pPr>
        <w:tabs>
          <w:tab w:val="left" w:pos="915"/>
        </w:tabs>
        <w:rPr>
          <w:highlight w:val="lightGray"/>
        </w:rPr>
      </w:pPr>
      <w:r w:rsidRPr="00D80DE4">
        <w:rPr>
          <w:highlight w:val="lightGray"/>
        </w:rPr>
        <w:t>%Capping at 10% market cap%</w:t>
      </w:r>
    </w:p>
    <w:p w:rsidR="003B0D84" w:rsidRDefault="00D80DE4" w:rsidP="003B0D84">
      <w:pPr>
        <w:tabs>
          <w:tab w:val="left" w:pos="915"/>
        </w:tabs>
      </w:pPr>
      <w:r w:rsidRPr="00D80DE4">
        <w:rPr>
          <w:highlight w:val="lightGray"/>
        </w:rPr>
        <w:t>FTSE/JSE Capped Indices The Capped FTSE/JSE All-Share Index and the Capped FTSE/JSE Top 40 Index will have the same constituents as the FTSE/JSE All-Share Index and the FTSE/JSE Top 40 Index, thus requiring no additional criteria for inclusion. All corporate actions, index additions and index deletions will be applied as per the FTSE/JSE All-Share Index and the FTSE/JSE Top 40 Index. Constituent weights will be capped at 10% on a quarterly basis after the application of corporate actions.</w:t>
      </w:r>
    </w:p>
    <w:p w:rsidR="00D80DE4" w:rsidRDefault="00D80DE4" w:rsidP="003B0D84">
      <w:pPr>
        <w:tabs>
          <w:tab w:val="left" w:pos="915"/>
        </w:tabs>
      </w:pPr>
      <w:r>
        <w:t xml:space="preserve">Pg 28 of </w:t>
      </w:r>
      <w:hyperlink r:id="rId12" w:history="1">
        <w:r w:rsidRPr="000E07C0">
          <w:rPr>
            <w:rStyle w:val="Hyperlink"/>
          </w:rPr>
          <w:t>https://www.jse.co.za/content/JSERulesPoliciesandRegulationItems/FTSE%20JSE%20Ground%20Rules%20.pdf</w:t>
        </w:r>
      </w:hyperlink>
      <w:r>
        <w:t xml:space="preserve"> </w:t>
      </w:r>
    </w:p>
    <w:p w:rsidR="00D80DE4" w:rsidRPr="00B73D09" w:rsidRDefault="00D80DE4" w:rsidP="003B0D84">
      <w:pPr>
        <w:tabs>
          <w:tab w:val="left" w:pos="915"/>
        </w:tabs>
        <w:rPr>
          <w:highlight w:val="lightGray"/>
        </w:rPr>
      </w:pPr>
      <w:r w:rsidRPr="00B73D09">
        <w:rPr>
          <w:highlight w:val="lightGray"/>
        </w:rPr>
        <w:t>For i = 1:40</w:t>
      </w:r>
    </w:p>
    <w:p w:rsidR="00D80DE4" w:rsidRPr="00B73D09" w:rsidRDefault="00D80DE4" w:rsidP="003B0D84">
      <w:pPr>
        <w:tabs>
          <w:tab w:val="left" w:pos="915"/>
        </w:tabs>
        <w:rPr>
          <w:highlight w:val="lightGray"/>
        </w:rPr>
      </w:pPr>
      <w:r w:rsidRPr="00B73D09">
        <w:rPr>
          <w:highlight w:val="lightGray"/>
        </w:rPr>
        <w:t>If index_weight(i) &gt;0.1</w:t>
      </w:r>
    </w:p>
    <w:p w:rsidR="00D80DE4" w:rsidRPr="00B73D09" w:rsidRDefault="00D80DE4" w:rsidP="003B0D84">
      <w:pPr>
        <w:tabs>
          <w:tab w:val="left" w:pos="915"/>
        </w:tabs>
        <w:rPr>
          <w:highlight w:val="lightGray"/>
        </w:rPr>
      </w:pPr>
      <w:r w:rsidRPr="00B73D09">
        <w:rPr>
          <w:highlight w:val="lightGray"/>
        </w:rPr>
        <w:tab/>
        <w:t>Store = index_weight(i);</w:t>
      </w:r>
    </w:p>
    <w:p w:rsidR="00D80DE4" w:rsidRPr="00B73D09" w:rsidRDefault="00D80DE4" w:rsidP="003B0D84">
      <w:pPr>
        <w:tabs>
          <w:tab w:val="left" w:pos="915"/>
        </w:tabs>
        <w:rPr>
          <w:highlight w:val="lightGray"/>
        </w:rPr>
      </w:pPr>
      <w:r w:rsidRPr="00B73D09">
        <w:rPr>
          <w:highlight w:val="lightGray"/>
        </w:rPr>
        <w:tab/>
        <w:t>Index_weight(i) = 0.1;</w:t>
      </w:r>
    </w:p>
    <w:p w:rsidR="00D80DE4" w:rsidRPr="00B73D09" w:rsidRDefault="00D80DE4" w:rsidP="003B0D84">
      <w:pPr>
        <w:tabs>
          <w:tab w:val="left" w:pos="915"/>
        </w:tabs>
        <w:rPr>
          <w:highlight w:val="lightGray"/>
        </w:rPr>
      </w:pPr>
      <w:r w:rsidRPr="00B73D09">
        <w:rPr>
          <w:highlight w:val="lightGray"/>
        </w:rPr>
        <w:tab/>
        <w:t>Diff = Store – Index_weight(i);</w:t>
      </w:r>
    </w:p>
    <w:p w:rsidR="00D80DE4" w:rsidRPr="00B73D09" w:rsidRDefault="00D80DE4" w:rsidP="003B0D84">
      <w:pPr>
        <w:tabs>
          <w:tab w:val="left" w:pos="915"/>
        </w:tabs>
        <w:rPr>
          <w:highlight w:val="lightGray"/>
        </w:rPr>
      </w:pPr>
      <w:r w:rsidRPr="00B73D09">
        <w:rPr>
          <w:highlight w:val="lightGray"/>
        </w:rPr>
        <w:tab/>
        <w:t>For j = 1:40</w:t>
      </w:r>
    </w:p>
    <w:p w:rsidR="00D80DE4" w:rsidRPr="00B73D09" w:rsidRDefault="00D80DE4" w:rsidP="003B0D84">
      <w:pPr>
        <w:tabs>
          <w:tab w:val="left" w:pos="915"/>
        </w:tabs>
        <w:rPr>
          <w:highlight w:val="lightGray"/>
        </w:rPr>
      </w:pPr>
      <w:r w:rsidRPr="00B73D09">
        <w:rPr>
          <w:highlight w:val="lightGray"/>
        </w:rPr>
        <w:tab/>
      </w:r>
      <w:r w:rsidRPr="00B73D09">
        <w:rPr>
          <w:highlight w:val="lightGray"/>
        </w:rPr>
        <w:tab/>
        <w:t>If i~=j</w:t>
      </w:r>
    </w:p>
    <w:p w:rsidR="00D80DE4" w:rsidRDefault="00D80DE4" w:rsidP="003B0D84">
      <w:pPr>
        <w:tabs>
          <w:tab w:val="left" w:pos="915"/>
        </w:tabs>
      </w:pPr>
      <w:r w:rsidRPr="00B73D09">
        <w:rPr>
          <w:highlight w:val="lightGray"/>
        </w:rPr>
        <w:tab/>
      </w:r>
      <w:r w:rsidRPr="00B73D09">
        <w:rPr>
          <w:highlight w:val="lightGray"/>
        </w:rPr>
        <w:tab/>
      </w:r>
      <w:r w:rsidRPr="00B73D09">
        <w:rPr>
          <w:highlight w:val="lightGray"/>
        </w:rPr>
        <w:tab/>
        <w:t>Index_weight(j) =</w:t>
      </w:r>
      <w:r>
        <w:t xml:space="preserve"> </w:t>
      </w:r>
    </w:p>
    <w:p w:rsidR="003B0D84" w:rsidRDefault="003B0D84" w:rsidP="003B0D84">
      <w:pPr>
        <w:tabs>
          <w:tab w:val="left" w:pos="915"/>
        </w:tabs>
      </w:pPr>
    </w:p>
    <w:p w:rsidR="003B0D84" w:rsidRDefault="003B0D84" w:rsidP="003B0D84">
      <w:pPr>
        <w:tabs>
          <w:tab w:val="left" w:pos="915"/>
        </w:tabs>
      </w:pPr>
    </w:p>
    <w:p w:rsidR="003B0D84" w:rsidRDefault="003B0D84">
      <w:r>
        <w:br w:type="page"/>
      </w:r>
    </w:p>
    <w:p w:rsidR="003B0D84" w:rsidRDefault="003B0D84" w:rsidP="003B0D84">
      <w:pPr>
        <w:pStyle w:val="Heading1"/>
        <w:numPr>
          <w:ilvl w:val="0"/>
          <w:numId w:val="15"/>
        </w:numPr>
      </w:pPr>
      <w:r>
        <w:lastRenderedPageBreak/>
        <w:t>Results</w:t>
      </w:r>
    </w:p>
    <w:p w:rsidR="003B0D84" w:rsidRDefault="003B0D84" w:rsidP="003B0D84">
      <w:pPr>
        <w:tabs>
          <w:tab w:val="left" w:pos="915"/>
        </w:tabs>
      </w:pPr>
    </w:p>
    <w:p w:rsidR="003B0D84" w:rsidRDefault="003B0D84" w:rsidP="003B0D84">
      <w:pPr>
        <w:tabs>
          <w:tab w:val="left" w:pos="915"/>
        </w:tabs>
      </w:pPr>
    </w:p>
    <w:p w:rsidR="003B0D84" w:rsidRDefault="003B0D84" w:rsidP="003B0D84">
      <w:pPr>
        <w:tabs>
          <w:tab w:val="left" w:pos="915"/>
        </w:tabs>
      </w:pPr>
    </w:p>
    <w:p w:rsidR="003B0D84" w:rsidRDefault="003B0D84" w:rsidP="003B0D84">
      <w:pPr>
        <w:tabs>
          <w:tab w:val="left" w:pos="915"/>
        </w:tabs>
      </w:pPr>
    </w:p>
    <w:p w:rsidR="003B0D84" w:rsidRDefault="003B0D84">
      <w:r>
        <w:br w:type="page"/>
      </w:r>
    </w:p>
    <w:p w:rsidR="003B0D84" w:rsidRDefault="003B0D84" w:rsidP="003B0D84">
      <w:pPr>
        <w:pStyle w:val="Heading1"/>
        <w:numPr>
          <w:ilvl w:val="0"/>
          <w:numId w:val="15"/>
        </w:numPr>
      </w:pPr>
      <w:r>
        <w:lastRenderedPageBreak/>
        <w:t>Conclusion and recommendation</w:t>
      </w:r>
    </w:p>
    <w:p w:rsidR="003B0D84" w:rsidRDefault="003B0D84" w:rsidP="003B0D84">
      <w:pPr>
        <w:tabs>
          <w:tab w:val="left" w:pos="915"/>
        </w:tabs>
      </w:pPr>
      <w:r>
        <w:t>&lt;recommendations might not be needed&gt;</w:t>
      </w:r>
    </w:p>
    <w:p w:rsidR="009C54B4" w:rsidRDefault="009C54B4" w:rsidP="003B0D84">
      <w:pPr>
        <w:tabs>
          <w:tab w:val="left" w:pos="915"/>
        </w:tabs>
      </w:pPr>
    </w:p>
    <w:p w:rsidR="009C54B4" w:rsidRPr="009C54B4" w:rsidRDefault="00C61584" w:rsidP="009C54B4">
      <w:r>
        <w:t xml:space="preserve">Global Minimum Variance and 50% equally weighted, lead to best results(sharpe ratio)?? pg22 </w:t>
      </w:r>
      <w:hyperlink r:id="rId13" w:history="1">
        <w:r w:rsidRPr="00311B1C">
          <w:rPr>
            <w:rStyle w:val="Hyperlink"/>
          </w:rPr>
          <w:t>http://docs.edhec-risk.com/ERI-Days-North-America-2013/documents/EDHEC-Risk_Position_Paper_Smart_Beta_2.0.pdf</w:t>
        </w:r>
      </w:hyperlink>
      <w:r>
        <w:t xml:space="preserve"> </w:t>
      </w:r>
    </w:p>
    <w:p w:rsidR="009C54B4" w:rsidRPr="009C54B4" w:rsidRDefault="009C54B4" w:rsidP="009C54B4"/>
    <w:p w:rsidR="009C54B4" w:rsidRPr="009C54B4" w:rsidRDefault="009C54B4" w:rsidP="009C54B4"/>
    <w:p w:rsidR="009C54B4" w:rsidRPr="009C54B4" w:rsidRDefault="009C54B4" w:rsidP="009C54B4"/>
    <w:p w:rsidR="009C54B4" w:rsidRPr="009C54B4" w:rsidRDefault="009C54B4" w:rsidP="009C54B4"/>
    <w:p w:rsidR="009C54B4" w:rsidRDefault="009C54B4">
      <w:r>
        <w:br w:type="page"/>
      </w:r>
    </w:p>
    <w:p w:rsidR="009C54B4" w:rsidRDefault="009C54B4" w:rsidP="009C54B4">
      <w:pPr>
        <w:pStyle w:val="Heading1"/>
        <w:numPr>
          <w:ilvl w:val="0"/>
          <w:numId w:val="15"/>
        </w:numPr>
      </w:pPr>
      <w:r>
        <w:lastRenderedPageBreak/>
        <w:t>Reference list</w:t>
      </w:r>
    </w:p>
    <w:p w:rsidR="009C54B4" w:rsidRDefault="009C54B4" w:rsidP="009C54B4">
      <w:pPr>
        <w:numPr>
          <w:ilvl w:val="0"/>
          <w:numId w:val="17"/>
        </w:numPr>
      </w:pPr>
      <w:r>
        <w:t xml:space="preserve">[1] </w:t>
      </w:r>
      <w:hyperlink r:id="rId14" w:history="1">
        <w:r w:rsidRPr="009C54B4">
          <w:rPr>
            <w:rStyle w:val="Hyperlink"/>
          </w:rPr>
          <w:t>https://core.ac.uk/download/pdf/6218589.pdf</w:t>
        </w:r>
      </w:hyperlink>
      <w:r w:rsidRPr="009C54B4">
        <w:t xml:space="preserve"> </w:t>
      </w:r>
    </w:p>
    <w:p w:rsidR="00354B86" w:rsidRPr="009C54B4" w:rsidRDefault="00354B86" w:rsidP="00354B86">
      <w:pPr>
        <w:numPr>
          <w:ilvl w:val="0"/>
          <w:numId w:val="17"/>
        </w:numPr>
      </w:pPr>
      <w:r>
        <w:t xml:space="preserve">[2] </w:t>
      </w:r>
      <w:hyperlink r:id="rId15" w:history="1">
        <w:r w:rsidRPr="00311B1C">
          <w:rPr>
            <w:rStyle w:val="Hyperlink"/>
          </w:rPr>
          <w:t>https://www.jse.co.za/content/JSERulesPoliciesandRegulationItems/FTSE%20JSE%20Ground%20Rules%20.pdf</w:t>
        </w:r>
      </w:hyperlink>
      <w:r>
        <w:t xml:space="preserve"> </w:t>
      </w:r>
    </w:p>
    <w:p w:rsidR="009C54B4" w:rsidRPr="009C54B4" w:rsidRDefault="009C54B4" w:rsidP="009C54B4"/>
    <w:sectPr w:rsidR="009C54B4" w:rsidRPr="009C54B4" w:rsidSect="00307CA0">
      <w:pgSz w:w="11906" w:h="16838"/>
      <w:pgMar w:top="1440" w:right="1440" w:bottom="1440" w:left="1440" w:header="708" w:footer="708" w:gutter="0"/>
      <w:pgBorders w:display="firstPage" w:offsetFrom="page">
        <w:top w:val="double" w:sz="4" w:space="24" w:color="1F4E79" w:themeColor="accent1" w:themeShade="80"/>
        <w:left w:val="double" w:sz="4" w:space="24" w:color="1F4E79" w:themeColor="accent1" w:themeShade="80"/>
        <w:bottom w:val="double" w:sz="4" w:space="24" w:color="1F4E79" w:themeColor="accent1" w:themeShade="80"/>
        <w:right w:val="double" w:sz="4" w:space="24" w:color="1F4E79" w:themeColor="accent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EB8" w:rsidRDefault="00AF2EB8" w:rsidP="00307CA0">
      <w:pPr>
        <w:spacing w:after="0" w:line="240" w:lineRule="auto"/>
      </w:pPr>
      <w:r>
        <w:separator/>
      </w:r>
    </w:p>
  </w:endnote>
  <w:endnote w:type="continuationSeparator" w:id="0">
    <w:p w:rsidR="00AF2EB8" w:rsidRDefault="00AF2EB8" w:rsidP="0030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EB8" w:rsidRDefault="00AF2EB8" w:rsidP="00307CA0">
      <w:pPr>
        <w:spacing w:after="0" w:line="240" w:lineRule="auto"/>
      </w:pPr>
      <w:r>
        <w:separator/>
      </w:r>
    </w:p>
  </w:footnote>
  <w:footnote w:type="continuationSeparator" w:id="0">
    <w:p w:rsidR="00AF2EB8" w:rsidRDefault="00AF2EB8" w:rsidP="00307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2BFF"/>
    <w:multiLevelType w:val="hybridMultilevel"/>
    <w:tmpl w:val="9978200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A5B3B69"/>
    <w:multiLevelType w:val="hybridMultilevel"/>
    <w:tmpl w:val="BC802F1E"/>
    <w:lvl w:ilvl="0" w:tplc="F5EE4140">
      <w:start w:val="1"/>
      <w:numFmt w:val="lowerLetter"/>
      <w:lvlText w:val="(%1)"/>
      <w:lvlJc w:val="left"/>
      <w:pPr>
        <w:ind w:left="720" w:hanging="360"/>
      </w:pPr>
      <w:rPr>
        <w:rFonts w:hint="default"/>
        <w:color w:val="000000"/>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4713D5A"/>
    <w:multiLevelType w:val="hybridMultilevel"/>
    <w:tmpl w:val="EFAAECD6"/>
    <w:lvl w:ilvl="0" w:tplc="E7869730">
      <w:start w:val="1"/>
      <w:numFmt w:val="decimal"/>
      <w:lvlText w:val="%1."/>
      <w:lvlJc w:val="left"/>
      <w:pPr>
        <w:ind w:left="720" w:hanging="360"/>
      </w:pPr>
    </w:lvl>
    <w:lvl w:ilvl="1" w:tplc="7870FBC4">
      <w:start w:val="1"/>
      <w:numFmt w:val="lowerLetter"/>
      <w:lvlText w:val="%2."/>
      <w:lvlJc w:val="left"/>
      <w:pPr>
        <w:ind w:left="1440" w:hanging="360"/>
      </w:pPr>
    </w:lvl>
    <w:lvl w:ilvl="2" w:tplc="2056C700">
      <w:start w:val="1"/>
      <w:numFmt w:val="lowerRoman"/>
      <w:lvlText w:val="%3."/>
      <w:lvlJc w:val="right"/>
      <w:pPr>
        <w:ind w:left="2160" w:hanging="180"/>
      </w:pPr>
    </w:lvl>
    <w:lvl w:ilvl="3" w:tplc="E736876C">
      <w:start w:val="1"/>
      <w:numFmt w:val="decimal"/>
      <w:lvlText w:val="%4."/>
      <w:lvlJc w:val="left"/>
      <w:pPr>
        <w:ind w:left="2880" w:hanging="360"/>
      </w:pPr>
    </w:lvl>
    <w:lvl w:ilvl="4" w:tplc="E03A8DB0">
      <w:start w:val="1"/>
      <w:numFmt w:val="lowerLetter"/>
      <w:lvlText w:val="%5."/>
      <w:lvlJc w:val="left"/>
      <w:pPr>
        <w:ind w:left="3600" w:hanging="360"/>
      </w:pPr>
    </w:lvl>
    <w:lvl w:ilvl="5" w:tplc="346C9F90">
      <w:start w:val="1"/>
      <w:numFmt w:val="lowerRoman"/>
      <w:lvlText w:val="%6."/>
      <w:lvlJc w:val="right"/>
      <w:pPr>
        <w:ind w:left="4320" w:hanging="180"/>
      </w:pPr>
    </w:lvl>
    <w:lvl w:ilvl="6" w:tplc="D4E616E0">
      <w:start w:val="1"/>
      <w:numFmt w:val="decimal"/>
      <w:lvlText w:val="%7."/>
      <w:lvlJc w:val="left"/>
      <w:pPr>
        <w:ind w:left="5040" w:hanging="360"/>
      </w:pPr>
    </w:lvl>
    <w:lvl w:ilvl="7" w:tplc="FD60E0B8">
      <w:start w:val="1"/>
      <w:numFmt w:val="lowerLetter"/>
      <w:lvlText w:val="%8."/>
      <w:lvlJc w:val="left"/>
      <w:pPr>
        <w:ind w:left="5760" w:hanging="360"/>
      </w:pPr>
    </w:lvl>
    <w:lvl w:ilvl="8" w:tplc="74824038">
      <w:start w:val="1"/>
      <w:numFmt w:val="lowerRoman"/>
      <w:lvlText w:val="%9."/>
      <w:lvlJc w:val="right"/>
      <w:pPr>
        <w:ind w:left="6480" w:hanging="180"/>
      </w:pPr>
    </w:lvl>
  </w:abstractNum>
  <w:abstractNum w:abstractNumId="3" w15:restartNumberingAfterBreak="0">
    <w:nsid w:val="257E0A89"/>
    <w:multiLevelType w:val="multilevel"/>
    <w:tmpl w:val="BC0E1D3E"/>
    <w:lvl w:ilvl="0">
      <w:start w:val="2"/>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9821C85"/>
    <w:multiLevelType w:val="hybridMultilevel"/>
    <w:tmpl w:val="B3926B2C"/>
    <w:lvl w:ilvl="0" w:tplc="E9DC5470">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381147D"/>
    <w:multiLevelType w:val="multilevel"/>
    <w:tmpl w:val="20D85DB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5067387"/>
    <w:multiLevelType w:val="hybridMultilevel"/>
    <w:tmpl w:val="18B421A6"/>
    <w:lvl w:ilvl="0" w:tplc="44C21348">
      <w:start w:val="6"/>
      <w:numFmt w:val="bullet"/>
      <w:lvlText w:val="-"/>
      <w:lvlJc w:val="left"/>
      <w:pPr>
        <w:ind w:left="405" w:hanging="360"/>
      </w:pPr>
      <w:rPr>
        <w:rFonts w:ascii="Calibri" w:eastAsiaTheme="minorHAnsi" w:hAnsi="Calibri" w:cs="Calibri" w:hint="default"/>
      </w:rPr>
    </w:lvl>
    <w:lvl w:ilvl="1" w:tplc="1C090003" w:tentative="1">
      <w:start w:val="1"/>
      <w:numFmt w:val="bullet"/>
      <w:lvlText w:val="o"/>
      <w:lvlJc w:val="left"/>
      <w:pPr>
        <w:ind w:left="1125" w:hanging="360"/>
      </w:pPr>
      <w:rPr>
        <w:rFonts w:ascii="Courier New" w:hAnsi="Courier New" w:cs="Courier New" w:hint="default"/>
      </w:rPr>
    </w:lvl>
    <w:lvl w:ilvl="2" w:tplc="1C090005" w:tentative="1">
      <w:start w:val="1"/>
      <w:numFmt w:val="bullet"/>
      <w:lvlText w:val=""/>
      <w:lvlJc w:val="left"/>
      <w:pPr>
        <w:ind w:left="1845" w:hanging="360"/>
      </w:pPr>
      <w:rPr>
        <w:rFonts w:ascii="Wingdings" w:hAnsi="Wingdings" w:hint="default"/>
      </w:rPr>
    </w:lvl>
    <w:lvl w:ilvl="3" w:tplc="1C090001" w:tentative="1">
      <w:start w:val="1"/>
      <w:numFmt w:val="bullet"/>
      <w:lvlText w:val=""/>
      <w:lvlJc w:val="left"/>
      <w:pPr>
        <w:ind w:left="2565" w:hanging="360"/>
      </w:pPr>
      <w:rPr>
        <w:rFonts w:ascii="Symbol" w:hAnsi="Symbol" w:hint="default"/>
      </w:rPr>
    </w:lvl>
    <w:lvl w:ilvl="4" w:tplc="1C090003" w:tentative="1">
      <w:start w:val="1"/>
      <w:numFmt w:val="bullet"/>
      <w:lvlText w:val="o"/>
      <w:lvlJc w:val="left"/>
      <w:pPr>
        <w:ind w:left="3285" w:hanging="360"/>
      </w:pPr>
      <w:rPr>
        <w:rFonts w:ascii="Courier New" w:hAnsi="Courier New" w:cs="Courier New" w:hint="default"/>
      </w:rPr>
    </w:lvl>
    <w:lvl w:ilvl="5" w:tplc="1C090005" w:tentative="1">
      <w:start w:val="1"/>
      <w:numFmt w:val="bullet"/>
      <w:lvlText w:val=""/>
      <w:lvlJc w:val="left"/>
      <w:pPr>
        <w:ind w:left="4005" w:hanging="360"/>
      </w:pPr>
      <w:rPr>
        <w:rFonts w:ascii="Wingdings" w:hAnsi="Wingdings" w:hint="default"/>
      </w:rPr>
    </w:lvl>
    <w:lvl w:ilvl="6" w:tplc="1C090001" w:tentative="1">
      <w:start w:val="1"/>
      <w:numFmt w:val="bullet"/>
      <w:lvlText w:val=""/>
      <w:lvlJc w:val="left"/>
      <w:pPr>
        <w:ind w:left="4725" w:hanging="360"/>
      </w:pPr>
      <w:rPr>
        <w:rFonts w:ascii="Symbol" w:hAnsi="Symbol" w:hint="default"/>
      </w:rPr>
    </w:lvl>
    <w:lvl w:ilvl="7" w:tplc="1C090003" w:tentative="1">
      <w:start w:val="1"/>
      <w:numFmt w:val="bullet"/>
      <w:lvlText w:val="o"/>
      <w:lvlJc w:val="left"/>
      <w:pPr>
        <w:ind w:left="5445" w:hanging="360"/>
      </w:pPr>
      <w:rPr>
        <w:rFonts w:ascii="Courier New" w:hAnsi="Courier New" w:cs="Courier New" w:hint="default"/>
      </w:rPr>
    </w:lvl>
    <w:lvl w:ilvl="8" w:tplc="1C090005" w:tentative="1">
      <w:start w:val="1"/>
      <w:numFmt w:val="bullet"/>
      <w:lvlText w:val=""/>
      <w:lvlJc w:val="left"/>
      <w:pPr>
        <w:ind w:left="6165" w:hanging="360"/>
      </w:pPr>
      <w:rPr>
        <w:rFonts w:ascii="Wingdings" w:hAnsi="Wingdings" w:hint="default"/>
      </w:rPr>
    </w:lvl>
  </w:abstractNum>
  <w:abstractNum w:abstractNumId="7" w15:restartNumberingAfterBreak="0">
    <w:nsid w:val="352A5240"/>
    <w:multiLevelType w:val="hybridMultilevel"/>
    <w:tmpl w:val="6014523E"/>
    <w:lvl w:ilvl="0" w:tplc="50321CA8">
      <w:numFmt w:val="bullet"/>
      <w:lvlText w:val="-"/>
      <w:lvlJc w:val="left"/>
      <w:pPr>
        <w:ind w:left="720" w:hanging="360"/>
      </w:pPr>
      <w:rPr>
        <w:rFonts w:ascii="Calibri" w:eastAsiaTheme="minorHAnsi" w:hAnsi="Calibri" w:cs="Calibri" w:hint="default"/>
      </w:rPr>
    </w:lvl>
    <w:lvl w:ilvl="1" w:tplc="B7DE5BD0">
      <w:start w:val="1"/>
      <w:numFmt w:val="bullet"/>
      <w:lvlText w:val="o"/>
      <w:lvlJc w:val="left"/>
      <w:pPr>
        <w:ind w:left="1440" w:hanging="360"/>
      </w:pPr>
      <w:rPr>
        <w:rFonts w:ascii="Courier New" w:hAnsi="Courier New" w:cs="Courier New" w:hint="default"/>
      </w:rPr>
    </w:lvl>
    <w:lvl w:ilvl="2" w:tplc="907C590C">
      <w:start w:val="1"/>
      <w:numFmt w:val="bullet"/>
      <w:lvlText w:val=""/>
      <w:lvlJc w:val="left"/>
      <w:pPr>
        <w:ind w:left="2160" w:hanging="360"/>
      </w:pPr>
      <w:rPr>
        <w:rFonts w:ascii="Wingdings" w:hAnsi="Wingdings" w:hint="default"/>
      </w:rPr>
    </w:lvl>
    <w:lvl w:ilvl="3" w:tplc="739237DE">
      <w:start w:val="1"/>
      <w:numFmt w:val="bullet"/>
      <w:lvlText w:val=""/>
      <w:lvlJc w:val="left"/>
      <w:pPr>
        <w:ind w:left="2880" w:hanging="360"/>
      </w:pPr>
      <w:rPr>
        <w:rFonts w:ascii="Symbol" w:hAnsi="Symbol" w:hint="default"/>
      </w:rPr>
    </w:lvl>
    <w:lvl w:ilvl="4" w:tplc="8FB22068">
      <w:start w:val="1"/>
      <w:numFmt w:val="bullet"/>
      <w:lvlText w:val="o"/>
      <w:lvlJc w:val="left"/>
      <w:pPr>
        <w:ind w:left="3600" w:hanging="360"/>
      </w:pPr>
      <w:rPr>
        <w:rFonts w:ascii="Courier New" w:hAnsi="Courier New" w:cs="Courier New" w:hint="default"/>
      </w:rPr>
    </w:lvl>
    <w:lvl w:ilvl="5" w:tplc="9468F2FE">
      <w:start w:val="1"/>
      <w:numFmt w:val="bullet"/>
      <w:lvlText w:val=""/>
      <w:lvlJc w:val="left"/>
      <w:pPr>
        <w:ind w:left="4320" w:hanging="360"/>
      </w:pPr>
      <w:rPr>
        <w:rFonts w:ascii="Wingdings" w:hAnsi="Wingdings" w:hint="default"/>
      </w:rPr>
    </w:lvl>
    <w:lvl w:ilvl="6" w:tplc="7EAADF58">
      <w:start w:val="1"/>
      <w:numFmt w:val="bullet"/>
      <w:lvlText w:val=""/>
      <w:lvlJc w:val="left"/>
      <w:pPr>
        <w:ind w:left="5040" w:hanging="360"/>
      </w:pPr>
      <w:rPr>
        <w:rFonts w:ascii="Symbol" w:hAnsi="Symbol" w:hint="default"/>
      </w:rPr>
    </w:lvl>
    <w:lvl w:ilvl="7" w:tplc="C28C07E2">
      <w:start w:val="1"/>
      <w:numFmt w:val="bullet"/>
      <w:lvlText w:val="o"/>
      <w:lvlJc w:val="left"/>
      <w:pPr>
        <w:ind w:left="5760" w:hanging="360"/>
      </w:pPr>
      <w:rPr>
        <w:rFonts w:ascii="Courier New" w:hAnsi="Courier New" w:cs="Courier New" w:hint="default"/>
      </w:rPr>
    </w:lvl>
    <w:lvl w:ilvl="8" w:tplc="B808B924">
      <w:start w:val="1"/>
      <w:numFmt w:val="bullet"/>
      <w:lvlText w:val=""/>
      <w:lvlJc w:val="left"/>
      <w:pPr>
        <w:ind w:left="6480" w:hanging="360"/>
      </w:pPr>
      <w:rPr>
        <w:rFonts w:ascii="Wingdings" w:hAnsi="Wingdings" w:hint="default"/>
      </w:rPr>
    </w:lvl>
  </w:abstractNum>
  <w:abstractNum w:abstractNumId="8" w15:restartNumberingAfterBreak="0">
    <w:nsid w:val="3A98240A"/>
    <w:multiLevelType w:val="hybridMultilevel"/>
    <w:tmpl w:val="445CFFEA"/>
    <w:lvl w:ilvl="0" w:tplc="DB82C85A">
      <w:start w:val="1"/>
      <w:numFmt w:val="decimal"/>
      <w:lvlText w:val="%1."/>
      <w:lvlJc w:val="left"/>
      <w:pPr>
        <w:ind w:left="720" w:hanging="360"/>
      </w:pPr>
    </w:lvl>
    <w:lvl w:ilvl="1" w:tplc="BA8C085E">
      <w:start w:val="1"/>
      <w:numFmt w:val="lowerLetter"/>
      <w:lvlText w:val="%2."/>
      <w:lvlJc w:val="left"/>
      <w:pPr>
        <w:ind w:left="1440" w:hanging="360"/>
      </w:pPr>
    </w:lvl>
    <w:lvl w:ilvl="2" w:tplc="5AD4F070">
      <w:start w:val="1"/>
      <w:numFmt w:val="lowerRoman"/>
      <w:lvlText w:val="%3."/>
      <w:lvlJc w:val="right"/>
      <w:pPr>
        <w:ind w:left="2160" w:hanging="180"/>
      </w:pPr>
    </w:lvl>
    <w:lvl w:ilvl="3" w:tplc="85BE6A00">
      <w:start w:val="1"/>
      <w:numFmt w:val="decimal"/>
      <w:lvlText w:val="%4."/>
      <w:lvlJc w:val="left"/>
      <w:pPr>
        <w:ind w:left="2880" w:hanging="360"/>
      </w:pPr>
    </w:lvl>
    <w:lvl w:ilvl="4" w:tplc="EA3C862E">
      <w:start w:val="1"/>
      <w:numFmt w:val="lowerLetter"/>
      <w:lvlText w:val="%5."/>
      <w:lvlJc w:val="left"/>
      <w:pPr>
        <w:ind w:left="3600" w:hanging="360"/>
      </w:pPr>
    </w:lvl>
    <w:lvl w:ilvl="5" w:tplc="1338B058">
      <w:start w:val="1"/>
      <w:numFmt w:val="lowerRoman"/>
      <w:lvlText w:val="%6."/>
      <w:lvlJc w:val="right"/>
      <w:pPr>
        <w:ind w:left="4320" w:hanging="180"/>
      </w:pPr>
    </w:lvl>
    <w:lvl w:ilvl="6" w:tplc="D6D2EE28">
      <w:start w:val="1"/>
      <w:numFmt w:val="decimal"/>
      <w:lvlText w:val="%7."/>
      <w:lvlJc w:val="left"/>
      <w:pPr>
        <w:ind w:left="5040" w:hanging="360"/>
      </w:pPr>
    </w:lvl>
    <w:lvl w:ilvl="7" w:tplc="20D63822">
      <w:start w:val="1"/>
      <w:numFmt w:val="lowerLetter"/>
      <w:lvlText w:val="%8."/>
      <w:lvlJc w:val="left"/>
      <w:pPr>
        <w:ind w:left="5760" w:hanging="360"/>
      </w:pPr>
    </w:lvl>
    <w:lvl w:ilvl="8" w:tplc="CCA441BA">
      <w:start w:val="1"/>
      <w:numFmt w:val="lowerRoman"/>
      <w:lvlText w:val="%9."/>
      <w:lvlJc w:val="right"/>
      <w:pPr>
        <w:ind w:left="6480" w:hanging="180"/>
      </w:pPr>
    </w:lvl>
  </w:abstractNum>
  <w:abstractNum w:abstractNumId="9" w15:restartNumberingAfterBreak="0">
    <w:nsid w:val="3E272306"/>
    <w:multiLevelType w:val="hybridMultilevel"/>
    <w:tmpl w:val="7E96A578"/>
    <w:lvl w:ilvl="0" w:tplc="E9DC5470">
      <w:numFmt w:val="bullet"/>
      <w:lvlText w:val="-"/>
      <w:lvlJc w:val="left"/>
      <w:pPr>
        <w:ind w:left="405" w:hanging="360"/>
      </w:pPr>
      <w:rPr>
        <w:rFonts w:ascii="Calibri" w:eastAsiaTheme="minorHAnsi" w:hAnsi="Calibri" w:cs="Calibri" w:hint="default"/>
      </w:rPr>
    </w:lvl>
    <w:lvl w:ilvl="1" w:tplc="DECE28B2">
      <w:start w:val="1"/>
      <w:numFmt w:val="bullet"/>
      <w:lvlText w:val="o"/>
      <w:lvlJc w:val="left"/>
      <w:pPr>
        <w:ind w:left="1125" w:hanging="360"/>
      </w:pPr>
      <w:rPr>
        <w:rFonts w:ascii="Courier New" w:hAnsi="Courier New" w:cs="Courier New" w:hint="default"/>
      </w:rPr>
    </w:lvl>
    <w:lvl w:ilvl="2" w:tplc="AD9474A8">
      <w:start w:val="1"/>
      <w:numFmt w:val="bullet"/>
      <w:lvlText w:val=""/>
      <w:lvlJc w:val="left"/>
      <w:pPr>
        <w:ind w:left="1845" w:hanging="360"/>
      </w:pPr>
      <w:rPr>
        <w:rFonts w:ascii="Wingdings" w:hAnsi="Wingdings" w:hint="default"/>
      </w:rPr>
    </w:lvl>
    <w:lvl w:ilvl="3" w:tplc="B8AE5DF8">
      <w:start w:val="1"/>
      <w:numFmt w:val="bullet"/>
      <w:lvlText w:val=""/>
      <w:lvlJc w:val="left"/>
      <w:pPr>
        <w:ind w:left="2565" w:hanging="360"/>
      </w:pPr>
      <w:rPr>
        <w:rFonts w:ascii="Symbol" w:hAnsi="Symbol" w:hint="default"/>
      </w:rPr>
    </w:lvl>
    <w:lvl w:ilvl="4" w:tplc="61A8F3C0">
      <w:start w:val="1"/>
      <w:numFmt w:val="bullet"/>
      <w:lvlText w:val="o"/>
      <w:lvlJc w:val="left"/>
      <w:pPr>
        <w:ind w:left="3285" w:hanging="360"/>
      </w:pPr>
      <w:rPr>
        <w:rFonts w:ascii="Courier New" w:hAnsi="Courier New" w:cs="Courier New" w:hint="default"/>
      </w:rPr>
    </w:lvl>
    <w:lvl w:ilvl="5" w:tplc="B3229946">
      <w:start w:val="1"/>
      <w:numFmt w:val="bullet"/>
      <w:lvlText w:val=""/>
      <w:lvlJc w:val="left"/>
      <w:pPr>
        <w:ind w:left="4005" w:hanging="360"/>
      </w:pPr>
      <w:rPr>
        <w:rFonts w:ascii="Wingdings" w:hAnsi="Wingdings" w:hint="default"/>
      </w:rPr>
    </w:lvl>
    <w:lvl w:ilvl="6" w:tplc="AEC64D8A">
      <w:start w:val="1"/>
      <w:numFmt w:val="bullet"/>
      <w:lvlText w:val=""/>
      <w:lvlJc w:val="left"/>
      <w:pPr>
        <w:ind w:left="4725" w:hanging="360"/>
      </w:pPr>
      <w:rPr>
        <w:rFonts w:ascii="Symbol" w:hAnsi="Symbol" w:hint="default"/>
      </w:rPr>
    </w:lvl>
    <w:lvl w:ilvl="7" w:tplc="11AA0A3C">
      <w:start w:val="1"/>
      <w:numFmt w:val="bullet"/>
      <w:lvlText w:val="o"/>
      <w:lvlJc w:val="left"/>
      <w:pPr>
        <w:ind w:left="5445" w:hanging="360"/>
      </w:pPr>
      <w:rPr>
        <w:rFonts w:ascii="Courier New" w:hAnsi="Courier New" w:cs="Courier New" w:hint="default"/>
      </w:rPr>
    </w:lvl>
    <w:lvl w:ilvl="8" w:tplc="010EC40E">
      <w:start w:val="1"/>
      <w:numFmt w:val="bullet"/>
      <w:lvlText w:val=""/>
      <w:lvlJc w:val="left"/>
      <w:pPr>
        <w:ind w:left="6165" w:hanging="360"/>
      </w:pPr>
      <w:rPr>
        <w:rFonts w:ascii="Wingdings" w:hAnsi="Wingdings" w:hint="default"/>
      </w:rPr>
    </w:lvl>
  </w:abstractNum>
  <w:abstractNum w:abstractNumId="10" w15:restartNumberingAfterBreak="0">
    <w:nsid w:val="499102DE"/>
    <w:multiLevelType w:val="hybridMultilevel"/>
    <w:tmpl w:val="6980DB86"/>
    <w:lvl w:ilvl="0" w:tplc="A7C4BC5A">
      <w:numFmt w:val="bullet"/>
      <w:lvlText w:val="-"/>
      <w:lvlJc w:val="left"/>
      <w:pPr>
        <w:ind w:left="720" w:hanging="360"/>
      </w:pPr>
      <w:rPr>
        <w:rFonts w:ascii="Calibri" w:eastAsiaTheme="minorHAnsi" w:hAnsi="Calibri" w:cs="Calibri" w:hint="default"/>
      </w:rPr>
    </w:lvl>
    <w:lvl w:ilvl="1" w:tplc="799E0F0E">
      <w:start w:val="1"/>
      <w:numFmt w:val="bullet"/>
      <w:lvlText w:val="o"/>
      <w:lvlJc w:val="left"/>
      <w:pPr>
        <w:ind w:left="1440" w:hanging="360"/>
      </w:pPr>
      <w:rPr>
        <w:rFonts w:ascii="Courier New" w:hAnsi="Courier New" w:cs="Courier New" w:hint="default"/>
      </w:rPr>
    </w:lvl>
    <w:lvl w:ilvl="2" w:tplc="06541D80">
      <w:start w:val="1"/>
      <w:numFmt w:val="bullet"/>
      <w:lvlText w:val=""/>
      <w:lvlJc w:val="left"/>
      <w:pPr>
        <w:ind w:left="2160" w:hanging="360"/>
      </w:pPr>
      <w:rPr>
        <w:rFonts w:ascii="Wingdings" w:hAnsi="Wingdings" w:hint="default"/>
      </w:rPr>
    </w:lvl>
    <w:lvl w:ilvl="3" w:tplc="064E26B2">
      <w:start w:val="1"/>
      <w:numFmt w:val="bullet"/>
      <w:lvlText w:val=""/>
      <w:lvlJc w:val="left"/>
      <w:pPr>
        <w:ind w:left="2880" w:hanging="360"/>
      </w:pPr>
      <w:rPr>
        <w:rFonts w:ascii="Symbol" w:hAnsi="Symbol" w:hint="default"/>
      </w:rPr>
    </w:lvl>
    <w:lvl w:ilvl="4" w:tplc="02D6144C">
      <w:start w:val="1"/>
      <w:numFmt w:val="bullet"/>
      <w:lvlText w:val="o"/>
      <w:lvlJc w:val="left"/>
      <w:pPr>
        <w:ind w:left="3600" w:hanging="360"/>
      </w:pPr>
      <w:rPr>
        <w:rFonts w:ascii="Courier New" w:hAnsi="Courier New" w:cs="Courier New" w:hint="default"/>
      </w:rPr>
    </w:lvl>
    <w:lvl w:ilvl="5" w:tplc="271CC5F6">
      <w:start w:val="1"/>
      <w:numFmt w:val="bullet"/>
      <w:lvlText w:val=""/>
      <w:lvlJc w:val="left"/>
      <w:pPr>
        <w:ind w:left="4320" w:hanging="360"/>
      </w:pPr>
      <w:rPr>
        <w:rFonts w:ascii="Wingdings" w:hAnsi="Wingdings" w:hint="default"/>
      </w:rPr>
    </w:lvl>
    <w:lvl w:ilvl="6" w:tplc="EAC64A88">
      <w:start w:val="1"/>
      <w:numFmt w:val="bullet"/>
      <w:lvlText w:val=""/>
      <w:lvlJc w:val="left"/>
      <w:pPr>
        <w:ind w:left="5040" w:hanging="360"/>
      </w:pPr>
      <w:rPr>
        <w:rFonts w:ascii="Symbol" w:hAnsi="Symbol" w:hint="default"/>
      </w:rPr>
    </w:lvl>
    <w:lvl w:ilvl="7" w:tplc="C72EC07C">
      <w:start w:val="1"/>
      <w:numFmt w:val="bullet"/>
      <w:lvlText w:val="o"/>
      <w:lvlJc w:val="left"/>
      <w:pPr>
        <w:ind w:left="5760" w:hanging="360"/>
      </w:pPr>
      <w:rPr>
        <w:rFonts w:ascii="Courier New" w:hAnsi="Courier New" w:cs="Courier New" w:hint="default"/>
      </w:rPr>
    </w:lvl>
    <w:lvl w:ilvl="8" w:tplc="E952A8AA">
      <w:start w:val="1"/>
      <w:numFmt w:val="bullet"/>
      <w:lvlText w:val=""/>
      <w:lvlJc w:val="left"/>
      <w:pPr>
        <w:ind w:left="6480" w:hanging="360"/>
      </w:pPr>
      <w:rPr>
        <w:rFonts w:ascii="Wingdings" w:hAnsi="Wingdings" w:hint="default"/>
      </w:rPr>
    </w:lvl>
  </w:abstractNum>
  <w:abstractNum w:abstractNumId="11" w15:restartNumberingAfterBreak="0">
    <w:nsid w:val="58BC7EAF"/>
    <w:multiLevelType w:val="hybridMultilevel"/>
    <w:tmpl w:val="7E7E2802"/>
    <w:lvl w:ilvl="0" w:tplc="7AE4136C">
      <w:start w:val="2"/>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BB83917"/>
    <w:multiLevelType w:val="hybridMultilevel"/>
    <w:tmpl w:val="0114B040"/>
    <w:lvl w:ilvl="0" w:tplc="423A323E">
      <w:start w:val="2"/>
      <w:numFmt w:val="bullet"/>
      <w:lvlText w:val=""/>
      <w:lvlJc w:val="left"/>
      <w:pPr>
        <w:ind w:left="720" w:hanging="360"/>
      </w:pPr>
      <w:rPr>
        <w:rFonts w:ascii="Symbol" w:eastAsiaTheme="minorHAnsi" w:hAnsi="Symbol" w:cstheme="minorHAns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6433415"/>
    <w:multiLevelType w:val="hybridMultilevel"/>
    <w:tmpl w:val="47B44896"/>
    <w:lvl w:ilvl="0" w:tplc="04090017">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77E97A92"/>
    <w:multiLevelType w:val="hybridMultilevel"/>
    <w:tmpl w:val="FFF05BF6"/>
    <w:lvl w:ilvl="0" w:tplc="88B869F2">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85D4707"/>
    <w:multiLevelType w:val="hybridMultilevel"/>
    <w:tmpl w:val="9F028264"/>
    <w:lvl w:ilvl="0" w:tplc="B62EA9EE">
      <w:start w:val="2"/>
      <w:numFmt w:val="bullet"/>
      <w:lvlText w:val=""/>
      <w:lvlJc w:val="left"/>
      <w:pPr>
        <w:ind w:left="1110" w:hanging="360"/>
      </w:pPr>
      <w:rPr>
        <w:rFonts w:ascii="Symbol" w:eastAsiaTheme="minorHAnsi" w:hAnsi="Symbol" w:cstheme="minorBidi" w:hint="default"/>
      </w:rPr>
    </w:lvl>
    <w:lvl w:ilvl="1" w:tplc="1C090003" w:tentative="1">
      <w:start w:val="1"/>
      <w:numFmt w:val="bullet"/>
      <w:lvlText w:val="o"/>
      <w:lvlJc w:val="left"/>
      <w:pPr>
        <w:ind w:left="1830" w:hanging="360"/>
      </w:pPr>
      <w:rPr>
        <w:rFonts w:ascii="Courier New" w:hAnsi="Courier New" w:cs="Courier New" w:hint="default"/>
      </w:rPr>
    </w:lvl>
    <w:lvl w:ilvl="2" w:tplc="1C090005" w:tentative="1">
      <w:start w:val="1"/>
      <w:numFmt w:val="bullet"/>
      <w:lvlText w:val=""/>
      <w:lvlJc w:val="left"/>
      <w:pPr>
        <w:ind w:left="2550" w:hanging="360"/>
      </w:pPr>
      <w:rPr>
        <w:rFonts w:ascii="Wingdings" w:hAnsi="Wingdings" w:hint="default"/>
      </w:rPr>
    </w:lvl>
    <w:lvl w:ilvl="3" w:tplc="1C090001" w:tentative="1">
      <w:start w:val="1"/>
      <w:numFmt w:val="bullet"/>
      <w:lvlText w:val=""/>
      <w:lvlJc w:val="left"/>
      <w:pPr>
        <w:ind w:left="3270" w:hanging="360"/>
      </w:pPr>
      <w:rPr>
        <w:rFonts w:ascii="Symbol" w:hAnsi="Symbol" w:hint="default"/>
      </w:rPr>
    </w:lvl>
    <w:lvl w:ilvl="4" w:tplc="1C090003" w:tentative="1">
      <w:start w:val="1"/>
      <w:numFmt w:val="bullet"/>
      <w:lvlText w:val="o"/>
      <w:lvlJc w:val="left"/>
      <w:pPr>
        <w:ind w:left="3990" w:hanging="360"/>
      </w:pPr>
      <w:rPr>
        <w:rFonts w:ascii="Courier New" w:hAnsi="Courier New" w:cs="Courier New" w:hint="default"/>
      </w:rPr>
    </w:lvl>
    <w:lvl w:ilvl="5" w:tplc="1C090005" w:tentative="1">
      <w:start w:val="1"/>
      <w:numFmt w:val="bullet"/>
      <w:lvlText w:val=""/>
      <w:lvlJc w:val="left"/>
      <w:pPr>
        <w:ind w:left="4710" w:hanging="360"/>
      </w:pPr>
      <w:rPr>
        <w:rFonts w:ascii="Wingdings" w:hAnsi="Wingdings" w:hint="default"/>
      </w:rPr>
    </w:lvl>
    <w:lvl w:ilvl="6" w:tplc="1C090001" w:tentative="1">
      <w:start w:val="1"/>
      <w:numFmt w:val="bullet"/>
      <w:lvlText w:val=""/>
      <w:lvlJc w:val="left"/>
      <w:pPr>
        <w:ind w:left="5430" w:hanging="360"/>
      </w:pPr>
      <w:rPr>
        <w:rFonts w:ascii="Symbol" w:hAnsi="Symbol" w:hint="default"/>
      </w:rPr>
    </w:lvl>
    <w:lvl w:ilvl="7" w:tplc="1C090003" w:tentative="1">
      <w:start w:val="1"/>
      <w:numFmt w:val="bullet"/>
      <w:lvlText w:val="o"/>
      <w:lvlJc w:val="left"/>
      <w:pPr>
        <w:ind w:left="6150" w:hanging="360"/>
      </w:pPr>
      <w:rPr>
        <w:rFonts w:ascii="Courier New" w:hAnsi="Courier New" w:cs="Courier New" w:hint="default"/>
      </w:rPr>
    </w:lvl>
    <w:lvl w:ilvl="8" w:tplc="1C090005" w:tentative="1">
      <w:start w:val="1"/>
      <w:numFmt w:val="bullet"/>
      <w:lvlText w:val=""/>
      <w:lvlJc w:val="left"/>
      <w:pPr>
        <w:ind w:left="6870" w:hanging="360"/>
      </w:pPr>
      <w:rPr>
        <w:rFonts w:ascii="Wingdings" w:hAnsi="Wingdings" w:hint="default"/>
      </w:rPr>
    </w:lvl>
  </w:abstractNum>
  <w:num w:numId="1">
    <w:abstractNumId w:val="1"/>
  </w:num>
  <w:num w:numId="2">
    <w:abstractNumId w:val="6"/>
  </w:num>
  <w:num w:numId="3">
    <w:abstractNumId w:val="13"/>
  </w:num>
  <w:num w:numId="4">
    <w:abstractNumId w:val="12"/>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9"/>
  </w:num>
  <w:num w:numId="11">
    <w:abstractNumId w:val="4"/>
  </w:num>
  <w:num w:numId="12">
    <w:abstractNumId w:val="0"/>
  </w:num>
  <w:num w:numId="13">
    <w:abstractNumId w:val="5"/>
  </w:num>
  <w:num w:numId="14">
    <w:abstractNumId w:val="15"/>
  </w:num>
  <w:num w:numId="15">
    <w:abstractNumId w:val="3"/>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ZA"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6CC"/>
    <w:rsid w:val="0002679B"/>
    <w:rsid w:val="0004121C"/>
    <w:rsid w:val="000711B3"/>
    <w:rsid w:val="0007632C"/>
    <w:rsid w:val="0009001D"/>
    <w:rsid w:val="000977DE"/>
    <w:rsid w:val="000B3842"/>
    <w:rsid w:val="000D2F87"/>
    <w:rsid w:val="000D3ED0"/>
    <w:rsid w:val="000D4C55"/>
    <w:rsid w:val="00107B84"/>
    <w:rsid w:val="0011678B"/>
    <w:rsid w:val="001360F0"/>
    <w:rsid w:val="00140406"/>
    <w:rsid w:val="00165933"/>
    <w:rsid w:val="00171DD8"/>
    <w:rsid w:val="00172081"/>
    <w:rsid w:val="001C2F4A"/>
    <w:rsid w:val="001D5B12"/>
    <w:rsid w:val="001E3E3C"/>
    <w:rsid w:val="00264225"/>
    <w:rsid w:val="0027075B"/>
    <w:rsid w:val="002A4D33"/>
    <w:rsid w:val="002B28BF"/>
    <w:rsid w:val="002F26F1"/>
    <w:rsid w:val="00307CA0"/>
    <w:rsid w:val="00322A50"/>
    <w:rsid w:val="00354B86"/>
    <w:rsid w:val="003870C7"/>
    <w:rsid w:val="003B0D84"/>
    <w:rsid w:val="003D7F6C"/>
    <w:rsid w:val="00407D19"/>
    <w:rsid w:val="00435A63"/>
    <w:rsid w:val="00440A3F"/>
    <w:rsid w:val="004C3E73"/>
    <w:rsid w:val="004E79A4"/>
    <w:rsid w:val="004F1E6E"/>
    <w:rsid w:val="004F3285"/>
    <w:rsid w:val="004F5FBC"/>
    <w:rsid w:val="00501A10"/>
    <w:rsid w:val="00514872"/>
    <w:rsid w:val="005322F6"/>
    <w:rsid w:val="005D451F"/>
    <w:rsid w:val="00625F73"/>
    <w:rsid w:val="00667F70"/>
    <w:rsid w:val="006918E5"/>
    <w:rsid w:val="006B3795"/>
    <w:rsid w:val="006C0E61"/>
    <w:rsid w:val="006E2776"/>
    <w:rsid w:val="006F2788"/>
    <w:rsid w:val="00744393"/>
    <w:rsid w:val="00770633"/>
    <w:rsid w:val="007716CC"/>
    <w:rsid w:val="00784BA5"/>
    <w:rsid w:val="00790B41"/>
    <w:rsid w:val="0079696E"/>
    <w:rsid w:val="007A0BDF"/>
    <w:rsid w:val="007A1696"/>
    <w:rsid w:val="007A22BC"/>
    <w:rsid w:val="007A24F5"/>
    <w:rsid w:val="007A4B6B"/>
    <w:rsid w:val="007C1200"/>
    <w:rsid w:val="00844DB1"/>
    <w:rsid w:val="0085775D"/>
    <w:rsid w:val="00872067"/>
    <w:rsid w:val="0087348F"/>
    <w:rsid w:val="0088110B"/>
    <w:rsid w:val="008C2AED"/>
    <w:rsid w:val="008C4C0F"/>
    <w:rsid w:val="009249B5"/>
    <w:rsid w:val="009318E6"/>
    <w:rsid w:val="009A1BD9"/>
    <w:rsid w:val="009B3ABD"/>
    <w:rsid w:val="009C0540"/>
    <w:rsid w:val="009C54B4"/>
    <w:rsid w:val="00A400E1"/>
    <w:rsid w:val="00A42DBA"/>
    <w:rsid w:val="00A55BA6"/>
    <w:rsid w:val="00A64D63"/>
    <w:rsid w:val="00A728FA"/>
    <w:rsid w:val="00AA41F6"/>
    <w:rsid w:val="00AF23FE"/>
    <w:rsid w:val="00AF2EB8"/>
    <w:rsid w:val="00B0534F"/>
    <w:rsid w:val="00B1684D"/>
    <w:rsid w:val="00B2040C"/>
    <w:rsid w:val="00B51BE2"/>
    <w:rsid w:val="00B54541"/>
    <w:rsid w:val="00B73D09"/>
    <w:rsid w:val="00B87B58"/>
    <w:rsid w:val="00B90C59"/>
    <w:rsid w:val="00BA24AE"/>
    <w:rsid w:val="00BC769B"/>
    <w:rsid w:val="00BE044D"/>
    <w:rsid w:val="00BE1FBF"/>
    <w:rsid w:val="00BE7412"/>
    <w:rsid w:val="00C0101B"/>
    <w:rsid w:val="00C23C63"/>
    <w:rsid w:val="00C55D67"/>
    <w:rsid w:val="00C61584"/>
    <w:rsid w:val="00C67267"/>
    <w:rsid w:val="00C818AF"/>
    <w:rsid w:val="00CD4931"/>
    <w:rsid w:val="00CF19DA"/>
    <w:rsid w:val="00D02B0D"/>
    <w:rsid w:val="00D74265"/>
    <w:rsid w:val="00D80DE4"/>
    <w:rsid w:val="00DB28C0"/>
    <w:rsid w:val="00DF233D"/>
    <w:rsid w:val="00E02509"/>
    <w:rsid w:val="00E14CAD"/>
    <w:rsid w:val="00E25B63"/>
    <w:rsid w:val="00E47049"/>
    <w:rsid w:val="00E531B1"/>
    <w:rsid w:val="00E53487"/>
    <w:rsid w:val="00EA7BCC"/>
    <w:rsid w:val="00ED1D30"/>
    <w:rsid w:val="00ED4C47"/>
    <w:rsid w:val="00EE2BC7"/>
    <w:rsid w:val="00F24234"/>
    <w:rsid w:val="00FC556F"/>
    <w:rsid w:val="00FD6502"/>
    <w:rsid w:val="00FF4E7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5873D5"/>
  <w15:docId w15:val="{A966C869-621E-474F-8CFA-FBDD3D5D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3A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5F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8BF"/>
    <w:pPr>
      <w:ind w:left="720"/>
      <w:contextualSpacing/>
    </w:pPr>
  </w:style>
  <w:style w:type="character" w:styleId="PlaceholderText">
    <w:name w:val="Placeholder Text"/>
    <w:basedOn w:val="DefaultParagraphFont"/>
    <w:uiPriority w:val="99"/>
    <w:semiHidden/>
    <w:rsid w:val="00B51BE2"/>
    <w:rPr>
      <w:color w:val="808080"/>
    </w:rPr>
  </w:style>
  <w:style w:type="table" w:styleId="TableGrid">
    <w:name w:val="Table Grid"/>
    <w:basedOn w:val="TableNormal"/>
    <w:uiPriority w:val="39"/>
    <w:rsid w:val="00881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110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07C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CA0"/>
  </w:style>
  <w:style w:type="paragraph" w:styleId="Footer">
    <w:name w:val="footer"/>
    <w:basedOn w:val="Normal"/>
    <w:link w:val="FooterChar"/>
    <w:uiPriority w:val="99"/>
    <w:unhideWhenUsed/>
    <w:rsid w:val="00307C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CA0"/>
  </w:style>
  <w:style w:type="character" w:styleId="Hyperlink">
    <w:name w:val="Hyperlink"/>
    <w:basedOn w:val="DefaultParagraphFont"/>
    <w:uiPriority w:val="99"/>
    <w:unhideWhenUsed/>
    <w:rsid w:val="00E53487"/>
    <w:rPr>
      <w:color w:val="0000FF"/>
      <w:u w:val="single"/>
    </w:rPr>
  </w:style>
  <w:style w:type="character" w:customStyle="1" w:styleId="Heading1Char">
    <w:name w:val="Heading 1 Char"/>
    <w:basedOn w:val="DefaultParagraphFont"/>
    <w:link w:val="Heading1"/>
    <w:uiPriority w:val="9"/>
    <w:rsid w:val="009B3A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5FB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F5F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FBC"/>
    <w:rPr>
      <w:rFonts w:ascii="Segoe UI" w:hAnsi="Segoe UI" w:cs="Segoe UI"/>
      <w:sz w:val="18"/>
      <w:szCs w:val="18"/>
    </w:rPr>
  </w:style>
  <w:style w:type="character" w:styleId="FollowedHyperlink">
    <w:name w:val="FollowedHyperlink"/>
    <w:basedOn w:val="DefaultParagraphFont"/>
    <w:uiPriority w:val="99"/>
    <w:semiHidden/>
    <w:unhideWhenUsed/>
    <w:rsid w:val="009C54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021619">
      <w:bodyDiv w:val="1"/>
      <w:marLeft w:val="0"/>
      <w:marRight w:val="0"/>
      <w:marTop w:val="0"/>
      <w:marBottom w:val="0"/>
      <w:divBdr>
        <w:top w:val="none" w:sz="0" w:space="0" w:color="auto"/>
        <w:left w:val="none" w:sz="0" w:space="0" w:color="auto"/>
        <w:bottom w:val="none" w:sz="0" w:space="0" w:color="auto"/>
        <w:right w:val="none" w:sz="0" w:space="0" w:color="auto"/>
      </w:divBdr>
    </w:div>
    <w:div w:id="1452553691">
      <w:bodyDiv w:val="1"/>
      <w:marLeft w:val="0"/>
      <w:marRight w:val="0"/>
      <w:marTop w:val="0"/>
      <w:marBottom w:val="0"/>
      <w:divBdr>
        <w:top w:val="none" w:sz="0" w:space="0" w:color="auto"/>
        <w:left w:val="none" w:sz="0" w:space="0" w:color="auto"/>
        <w:bottom w:val="none" w:sz="0" w:space="0" w:color="auto"/>
        <w:right w:val="none" w:sz="0" w:space="0" w:color="auto"/>
      </w:divBdr>
      <w:divsChild>
        <w:div w:id="2123332999">
          <w:marLeft w:val="0"/>
          <w:marRight w:val="0"/>
          <w:marTop w:val="0"/>
          <w:marBottom w:val="0"/>
          <w:divBdr>
            <w:top w:val="none" w:sz="0" w:space="0" w:color="auto"/>
            <w:left w:val="none" w:sz="0" w:space="0" w:color="auto"/>
            <w:bottom w:val="none" w:sz="0" w:space="0" w:color="auto"/>
            <w:right w:val="none" w:sz="0" w:space="0" w:color="auto"/>
          </w:divBdr>
          <w:divsChild>
            <w:div w:id="1024163021">
              <w:marLeft w:val="0"/>
              <w:marRight w:val="0"/>
              <w:marTop w:val="0"/>
              <w:marBottom w:val="0"/>
              <w:divBdr>
                <w:top w:val="none" w:sz="0" w:space="0" w:color="auto"/>
                <w:left w:val="none" w:sz="0" w:space="0" w:color="auto"/>
                <w:bottom w:val="none" w:sz="0" w:space="0" w:color="auto"/>
                <w:right w:val="none" w:sz="0" w:space="0" w:color="auto"/>
              </w:divBdr>
              <w:divsChild>
                <w:div w:id="1372652469">
                  <w:marLeft w:val="0"/>
                  <w:marRight w:val="0"/>
                  <w:marTop w:val="0"/>
                  <w:marBottom w:val="0"/>
                  <w:divBdr>
                    <w:top w:val="none" w:sz="0" w:space="0" w:color="auto"/>
                    <w:left w:val="none" w:sz="0" w:space="0" w:color="auto"/>
                    <w:bottom w:val="none" w:sz="0" w:space="0" w:color="auto"/>
                    <w:right w:val="none" w:sz="0" w:space="0" w:color="auto"/>
                  </w:divBdr>
                  <w:divsChild>
                    <w:div w:id="1136485892">
                      <w:marLeft w:val="0"/>
                      <w:marRight w:val="0"/>
                      <w:marTop w:val="0"/>
                      <w:marBottom w:val="0"/>
                      <w:divBdr>
                        <w:top w:val="none" w:sz="0" w:space="0" w:color="auto"/>
                        <w:left w:val="none" w:sz="0" w:space="0" w:color="auto"/>
                        <w:bottom w:val="none" w:sz="0" w:space="0" w:color="auto"/>
                        <w:right w:val="none" w:sz="0" w:space="0" w:color="auto"/>
                      </w:divBdr>
                      <w:divsChild>
                        <w:div w:id="1291400030">
                          <w:marLeft w:val="0"/>
                          <w:marRight w:val="0"/>
                          <w:marTop w:val="0"/>
                          <w:marBottom w:val="0"/>
                          <w:divBdr>
                            <w:top w:val="none" w:sz="0" w:space="0" w:color="auto"/>
                            <w:left w:val="none" w:sz="0" w:space="0" w:color="auto"/>
                            <w:bottom w:val="none" w:sz="0" w:space="0" w:color="auto"/>
                            <w:right w:val="none" w:sz="0" w:space="0" w:color="auto"/>
                          </w:divBdr>
                          <w:divsChild>
                            <w:div w:id="1681546919">
                              <w:marLeft w:val="15"/>
                              <w:marRight w:val="195"/>
                              <w:marTop w:val="0"/>
                              <w:marBottom w:val="0"/>
                              <w:divBdr>
                                <w:top w:val="none" w:sz="0" w:space="0" w:color="auto"/>
                                <w:left w:val="none" w:sz="0" w:space="0" w:color="auto"/>
                                <w:bottom w:val="none" w:sz="0" w:space="0" w:color="auto"/>
                                <w:right w:val="none" w:sz="0" w:space="0" w:color="auto"/>
                              </w:divBdr>
                              <w:divsChild>
                                <w:div w:id="792865461">
                                  <w:marLeft w:val="0"/>
                                  <w:marRight w:val="0"/>
                                  <w:marTop w:val="0"/>
                                  <w:marBottom w:val="0"/>
                                  <w:divBdr>
                                    <w:top w:val="none" w:sz="0" w:space="0" w:color="auto"/>
                                    <w:left w:val="none" w:sz="0" w:space="0" w:color="auto"/>
                                    <w:bottom w:val="none" w:sz="0" w:space="0" w:color="auto"/>
                                    <w:right w:val="none" w:sz="0" w:space="0" w:color="auto"/>
                                  </w:divBdr>
                                  <w:divsChild>
                                    <w:div w:id="68313466">
                                      <w:marLeft w:val="0"/>
                                      <w:marRight w:val="0"/>
                                      <w:marTop w:val="0"/>
                                      <w:marBottom w:val="0"/>
                                      <w:divBdr>
                                        <w:top w:val="none" w:sz="0" w:space="0" w:color="auto"/>
                                        <w:left w:val="none" w:sz="0" w:space="0" w:color="auto"/>
                                        <w:bottom w:val="none" w:sz="0" w:space="0" w:color="auto"/>
                                        <w:right w:val="none" w:sz="0" w:space="0" w:color="auto"/>
                                      </w:divBdr>
                                      <w:divsChild>
                                        <w:div w:id="843280095">
                                          <w:marLeft w:val="0"/>
                                          <w:marRight w:val="0"/>
                                          <w:marTop w:val="0"/>
                                          <w:marBottom w:val="0"/>
                                          <w:divBdr>
                                            <w:top w:val="none" w:sz="0" w:space="0" w:color="auto"/>
                                            <w:left w:val="none" w:sz="0" w:space="0" w:color="auto"/>
                                            <w:bottom w:val="none" w:sz="0" w:space="0" w:color="auto"/>
                                            <w:right w:val="none" w:sz="0" w:space="0" w:color="auto"/>
                                          </w:divBdr>
                                          <w:divsChild>
                                            <w:div w:id="1396195460">
                                              <w:marLeft w:val="0"/>
                                              <w:marRight w:val="0"/>
                                              <w:marTop w:val="0"/>
                                              <w:marBottom w:val="0"/>
                                              <w:divBdr>
                                                <w:top w:val="none" w:sz="0" w:space="0" w:color="auto"/>
                                                <w:left w:val="none" w:sz="0" w:space="0" w:color="auto"/>
                                                <w:bottom w:val="none" w:sz="0" w:space="0" w:color="auto"/>
                                                <w:right w:val="none" w:sz="0" w:space="0" w:color="auto"/>
                                              </w:divBdr>
                                              <w:divsChild>
                                                <w:div w:id="1650791948">
                                                  <w:marLeft w:val="0"/>
                                                  <w:marRight w:val="0"/>
                                                  <w:marTop w:val="0"/>
                                                  <w:marBottom w:val="0"/>
                                                  <w:divBdr>
                                                    <w:top w:val="none" w:sz="0" w:space="0" w:color="auto"/>
                                                    <w:left w:val="none" w:sz="0" w:space="0" w:color="auto"/>
                                                    <w:bottom w:val="none" w:sz="0" w:space="0" w:color="auto"/>
                                                    <w:right w:val="none" w:sz="0" w:space="0" w:color="auto"/>
                                                  </w:divBdr>
                                                  <w:divsChild>
                                                    <w:div w:id="1015304247">
                                                      <w:marLeft w:val="0"/>
                                                      <w:marRight w:val="0"/>
                                                      <w:marTop w:val="0"/>
                                                      <w:marBottom w:val="0"/>
                                                      <w:divBdr>
                                                        <w:top w:val="none" w:sz="0" w:space="0" w:color="auto"/>
                                                        <w:left w:val="none" w:sz="0" w:space="0" w:color="auto"/>
                                                        <w:bottom w:val="none" w:sz="0" w:space="0" w:color="auto"/>
                                                        <w:right w:val="none" w:sz="0" w:space="0" w:color="auto"/>
                                                      </w:divBdr>
                                                      <w:divsChild>
                                                        <w:div w:id="1900701588">
                                                          <w:marLeft w:val="0"/>
                                                          <w:marRight w:val="0"/>
                                                          <w:marTop w:val="0"/>
                                                          <w:marBottom w:val="0"/>
                                                          <w:divBdr>
                                                            <w:top w:val="none" w:sz="0" w:space="0" w:color="auto"/>
                                                            <w:left w:val="none" w:sz="0" w:space="0" w:color="auto"/>
                                                            <w:bottom w:val="none" w:sz="0" w:space="0" w:color="auto"/>
                                                            <w:right w:val="none" w:sz="0" w:space="0" w:color="auto"/>
                                                          </w:divBdr>
                                                          <w:divsChild>
                                                            <w:div w:id="1820919821">
                                                              <w:marLeft w:val="0"/>
                                                              <w:marRight w:val="0"/>
                                                              <w:marTop w:val="0"/>
                                                              <w:marBottom w:val="0"/>
                                                              <w:divBdr>
                                                                <w:top w:val="none" w:sz="0" w:space="0" w:color="auto"/>
                                                                <w:left w:val="none" w:sz="0" w:space="0" w:color="auto"/>
                                                                <w:bottom w:val="none" w:sz="0" w:space="0" w:color="auto"/>
                                                                <w:right w:val="none" w:sz="0" w:space="0" w:color="auto"/>
                                                              </w:divBdr>
                                                              <w:divsChild>
                                                                <w:div w:id="517084307">
                                                                  <w:marLeft w:val="0"/>
                                                                  <w:marRight w:val="0"/>
                                                                  <w:marTop w:val="0"/>
                                                                  <w:marBottom w:val="0"/>
                                                                  <w:divBdr>
                                                                    <w:top w:val="none" w:sz="0" w:space="0" w:color="auto"/>
                                                                    <w:left w:val="none" w:sz="0" w:space="0" w:color="auto"/>
                                                                    <w:bottom w:val="none" w:sz="0" w:space="0" w:color="auto"/>
                                                                    <w:right w:val="none" w:sz="0" w:space="0" w:color="auto"/>
                                                                  </w:divBdr>
                                                                  <w:divsChild>
                                                                    <w:div w:id="777526134">
                                                                      <w:marLeft w:val="405"/>
                                                                      <w:marRight w:val="0"/>
                                                                      <w:marTop w:val="0"/>
                                                                      <w:marBottom w:val="0"/>
                                                                      <w:divBdr>
                                                                        <w:top w:val="none" w:sz="0" w:space="0" w:color="auto"/>
                                                                        <w:left w:val="none" w:sz="0" w:space="0" w:color="auto"/>
                                                                        <w:bottom w:val="none" w:sz="0" w:space="0" w:color="auto"/>
                                                                        <w:right w:val="none" w:sz="0" w:space="0" w:color="auto"/>
                                                                      </w:divBdr>
                                                                      <w:divsChild>
                                                                        <w:div w:id="1154879156">
                                                                          <w:marLeft w:val="0"/>
                                                                          <w:marRight w:val="0"/>
                                                                          <w:marTop w:val="0"/>
                                                                          <w:marBottom w:val="0"/>
                                                                          <w:divBdr>
                                                                            <w:top w:val="none" w:sz="0" w:space="0" w:color="auto"/>
                                                                            <w:left w:val="none" w:sz="0" w:space="0" w:color="auto"/>
                                                                            <w:bottom w:val="none" w:sz="0" w:space="0" w:color="auto"/>
                                                                            <w:right w:val="none" w:sz="0" w:space="0" w:color="auto"/>
                                                                          </w:divBdr>
                                                                          <w:divsChild>
                                                                            <w:div w:id="105274560">
                                                                              <w:marLeft w:val="0"/>
                                                                              <w:marRight w:val="0"/>
                                                                              <w:marTop w:val="0"/>
                                                                              <w:marBottom w:val="0"/>
                                                                              <w:divBdr>
                                                                                <w:top w:val="none" w:sz="0" w:space="0" w:color="auto"/>
                                                                                <w:left w:val="none" w:sz="0" w:space="0" w:color="auto"/>
                                                                                <w:bottom w:val="none" w:sz="0" w:space="0" w:color="auto"/>
                                                                                <w:right w:val="none" w:sz="0" w:space="0" w:color="auto"/>
                                                                              </w:divBdr>
                                                                              <w:divsChild>
                                                                                <w:div w:id="309677979">
                                                                                  <w:marLeft w:val="0"/>
                                                                                  <w:marRight w:val="0"/>
                                                                                  <w:marTop w:val="0"/>
                                                                                  <w:marBottom w:val="0"/>
                                                                                  <w:divBdr>
                                                                                    <w:top w:val="none" w:sz="0" w:space="0" w:color="auto"/>
                                                                                    <w:left w:val="none" w:sz="0" w:space="0" w:color="auto"/>
                                                                                    <w:bottom w:val="none" w:sz="0" w:space="0" w:color="auto"/>
                                                                                    <w:right w:val="none" w:sz="0" w:space="0" w:color="auto"/>
                                                                                  </w:divBdr>
                                                                                  <w:divsChild>
                                                                                    <w:div w:id="1228491501">
                                                                                      <w:marLeft w:val="0"/>
                                                                                      <w:marRight w:val="0"/>
                                                                                      <w:marTop w:val="0"/>
                                                                                      <w:marBottom w:val="0"/>
                                                                                      <w:divBdr>
                                                                                        <w:top w:val="none" w:sz="0" w:space="0" w:color="auto"/>
                                                                                        <w:left w:val="none" w:sz="0" w:space="0" w:color="auto"/>
                                                                                        <w:bottom w:val="none" w:sz="0" w:space="0" w:color="auto"/>
                                                                                        <w:right w:val="none" w:sz="0" w:space="0" w:color="auto"/>
                                                                                      </w:divBdr>
                                                                                      <w:divsChild>
                                                                                        <w:div w:id="1906255296">
                                                                                          <w:marLeft w:val="0"/>
                                                                                          <w:marRight w:val="0"/>
                                                                                          <w:marTop w:val="0"/>
                                                                                          <w:marBottom w:val="0"/>
                                                                                          <w:divBdr>
                                                                                            <w:top w:val="none" w:sz="0" w:space="0" w:color="auto"/>
                                                                                            <w:left w:val="none" w:sz="0" w:space="0" w:color="auto"/>
                                                                                            <w:bottom w:val="none" w:sz="0" w:space="0" w:color="auto"/>
                                                                                            <w:right w:val="none" w:sz="0" w:space="0" w:color="auto"/>
                                                                                          </w:divBdr>
                                                                                          <w:divsChild>
                                                                                            <w:div w:id="1676615612">
                                                                                              <w:marLeft w:val="0"/>
                                                                                              <w:marRight w:val="0"/>
                                                                                              <w:marTop w:val="0"/>
                                                                                              <w:marBottom w:val="0"/>
                                                                                              <w:divBdr>
                                                                                                <w:top w:val="none" w:sz="0" w:space="0" w:color="auto"/>
                                                                                                <w:left w:val="none" w:sz="0" w:space="0" w:color="auto"/>
                                                                                                <w:bottom w:val="none" w:sz="0" w:space="0" w:color="auto"/>
                                                                                                <w:right w:val="none" w:sz="0" w:space="0" w:color="auto"/>
                                                                                              </w:divBdr>
                                                                                              <w:divsChild>
                                                                                                <w:div w:id="541985859">
                                                                                                  <w:marLeft w:val="0"/>
                                                                                                  <w:marRight w:val="0"/>
                                                                                                  <w:marTop w:val="15"/>
                                                                                                  <w:marBottom w:val="0"/>
                                                                                                  <w:divBdr>
                                                                                                    <w:top w:val="none" w:sz="0" w:space="0" w:color="auto"/>
                                                                                                    <w:left w:val="none" w:sz="0" w:space="0" w:color="auto"/>
                                                                                                    <w:bottom w:val="single" w:sz="6" w:space="15" w:color="auto"/>
                                                                                                    <w:right w:val="none" w:sz="0" w:space="0" w:color="auto"/>
                                                                                                  </w:divBdr>
                                                                                                  <w:divsChild>
                                                                                                    <w:div w:id="1289508450">
                                                                                                      <w:marLeft w:val="0"/>
                                                                                                      <w:marRight w:val="0"/>
                                                                                                      <w:marTop w:val="180"/>
                                                                                                      <w:marBottom w:val="0"/>
                                                                                                      <w:divBdr>
                                                                                                        <w:top w:val="none" w:sz="0" w:space="0" w:color="auto"/>
                                                                                                        <w:left w:val="none" w:sz="0" w:space="0" w:color="auto"/>
                                                                                                        <w:bottom w:val="none" w:sz="0" w:space="0" w:color="auto"/>
                                                                                                        <w:right w:val="none" w:sz="0" w:space="0" w:color="auto"/>
                                                                                                      </w:divBdr>
                                                                                                      <w:divsChild>
                                                                                                        <w:div w:id="520970185">
                                                                                                          <w:marLeft w:val="0"/>
                                                                                                          <w:marRight w:val="0"/>
                                                                                                          <w:marTop w:val="0"/>
                                                                                                          <w:marBottom w:val="0"/>
                                                                                                          <w:divBdr>
                                                                                                            <w:top w:val="none" w:sz="0" w:space="0" w:color="auto"/>
                                                                                                            <w:left w:val="none" w:sz="0" w:space="0" w:color="auto"/>
                                                                                                            <w:bottom w:val="none" w:sz="0" w:space="0" w:color="auto"/>
                                                                                                            <w:right w:val="none" w:sz="0" w:space="0" w:color="auto"/>
                                                                                                          </w:divBdr>
                                                                                                          <w:divsChild>
                                                                                                            <w:div w:id="1793934118">
                                                                                                              <w:marLeft w:val="0"/>
                                                                                                              <w:marRight w:val="0"/>
                                                                                                              <w:marTop w:val="0"/>
                                                                                                              <w:marBottom w:val="0"/>
                                                                                                              <w:divBdr>
                                                                                                                <w:top w:val="none" w:sz="0" w:space="0" w:color="auto"/>
                                                                                                                <w:left w:val="none" w:sz="0" w:space="0" w:color="auto"/>
                                                                                                                <w:bottom w:val="none" w:sz="0" w:space="0" w:color="auto"/>
                                                                                                                <w:right w:val="none" w:sz="0" w:space="0" w:color="auto"/>
                                                                                                              </w:divBdr>
                                                                                                              <w:divsChild>
                                                                                                                <w:div w:id="1830904661">
                                                                                                                  <w:marLeft w:val="0"/>
                                                                                                                  <w:marRight w:val="0"/>
                                                                                                                  <w:marTop w:val="30"/>
                                                                                                                  <w:marBottom w:val="0"/>
                                                                                                                  <w:divBdr>
                                                                                                                    <w:top w:val="none" w:sz="0" w:space="0" w:color="auto"/>
                                                                                                                    <w:left w:val="none" w:sz="0" w:space="0" w:color="auto"/>
                                                                                                                    <w:bottom w:val="none" w:sz="0" w:space="0" w:color="auto"/>
                                                                                                                    <w:right w:val="none" w:sz="0" w:space="0" w:color="auto"/>
                                                                                                                  </w:divBdr>
                                                                                                                  <w:divsChild>
                                                                                                                    <w:div w:id="2041855660">
                                                                                                                      <w:marLeft w:val="0"/>
                                                                                                                      <w:marRight w:val="0"/>
                                                                                                                      <w:marTop w:val="0"/>
                                                                                                                      <w:marBottom w:val="0"/>
                                                                                                                      <w:divBdr>
                                                                                                                        <w:top w:val="none" w:sz="0" w:space="0" w:color="auto"/>
                                                                                                                        <w:left w:val="none" w:sz="0" w:space="0" w:color="auto"/>
                                                                                                                        <w:bottom w:val="none" w:sz="0" w:space="0" w:color="auto"/>
                                                                                                                        <w:right w:val="none" w:sz="0" w:space="0" w:color="auto"/>
                                                                                                                      </w:divBdr>
                                                                                                                      <w:divsChild>
                                                                                                                        <w:div w:id="1859929199">
                                                                                                                          <w:marLeft w:val="0"/>
                                                                                                                          <w:marRight w:val="0"/>
                                                                                                                          <w:marTop w:val="0"/>
                                                                                                                          <w:marBottom w:val="0"/>
                                                                                                                          <w:divBdr>
                                                                                                                            <w:top w:val="none" w:sz="0" w:space="0" w:color="auto"/>
                                                                                                                            <w:left w:val="none" w:sz="0" w:space="0" w:color="auto"/>
                                                                                                                            <w:bottom w:val="none" w:sz="0" w:space="0" w:color="auto"/>
                                                                                                                            <w:right w:val="none" w:sz="0" w:space="0" w:color="auto"/>
                                                                                                                          </w:divBdr>
                                                                                                                          <w:divsChild>
                                                                                                                            <w:div w:id="312877234">
                                                                                                                              <w:marLeft w:val="0"/>
                                                                                                                              <w:marRight w:val="0"/>
                                                                                                                              <w:marTop w:val="0"/>
                                                                                                                              <w:marBottom w:val="0"/>
                                                                                                                              <w:divBdr>
                                                                                                                                <w:top w:val="none" w:sz="0" w:space="0" w:color="auto"/>
                                                                                                                                <w:left w:val="none" w:sz="0" w:space="0" w:color="auto"/>
                                                                                                                                <w:bottom w:val="none" w:sz="0" w:space="0" w:color="auto"/>
                                                                                                                                <w:right w:val="none" w:sz="0" w:space="0" w:color="auto"/>
                                                                                                                              </w:divBdr>
                                                                                                                              <w:divsChild>
                                                                                                                                <w:div w:id="2122413051">
                                                                                                                                  <w:marLeft w:val="0"/>
                                                                                                                                  <w:marRight w:val="0"/>
                                                                                                                                  <w:marTop w:val="0"/>
                                                                                                                                  <w:marBottom w:val="0"/>
                                                                                                                                  <w:divBdr>
                                                                                                                                    <w:top w:val="none" w:sz="0" w:space="0" w:color="auto"/>
                                                                                                                                    <w:left w:val="none" w:sz="0" w:space="0" w:color="auto"/>
                                                                                                                                    <w:bottom w:val="none" w:sz="0" w:space="0" w:color="auto"/>
                                                                                                                                    <w:right w:val="none" w:sz="0" w:space="0" w:color="auto"/>
                                                                                                                                  </w:divBdr>
                                                                                                                                  <w:divsChild>
                                                                                                                                    <w:div w:id="754009689">
                                                                                                                                      <w:marLeft w:val="0"/>
                                                                                                                                      <w:marRight w:val="0"/>
                                                                                                                                      <w:marTop w:val="0"/>
                                                                                                                                      <w:marBottom w:val="0"/>
                                                                                                                                      <w:divBdr>
                                                                                                                                        <w:top w:val="none" w:sz="0" w:space="0" w:color="auto"/>
                                                                                                                                        <w:left w:val="none" w:sz="0" w:space="0" w:color="auto"/>
                                                                                                                                        <w:bottom w:val="none" w:sz="0" w:space="0" w:color="auto"/>
                                                                                                                                        <w:right w:val="none" w:sz="0" w:space="0" w:color="auto"/>
                                                                                                                                      </w:divBdr>
                                                                                                                                    </w:div>
                                                                                                                                    <w:div w:id="1311253009">
                                                                                                                                      <w:marLeft w:val="405"/>
                                                                                                                                      <w:marRight w:val="0"/>
                                                                                                                                      <w:marTop w:val="0"/>
                                                                                                                                      <w:marBottom w:val="0"/>
                                                                                                                                      <w:divBdr>
                                                                                                                                        <w:top w:val="none" w:sz="0" w:space="0" w:color="auto"/>
                                                                                                                                        <w:left w:val="none" w:sz="0" w:space="0" w:color="auto"/>
                                                                                                                                        <w:bottom w:val="none" w:sz="0" w:space="0" w:color="auto"/>
                                                                                                                                        <w:right w:val="none" w:sz="0" w:space="0" w:color="auto"/>
                                                                                                                                      </w:divBdr>
                                                                                                                                    </w:div>
                                                                                                                                    <w:div w:id="169176879">
                                                                                                                                      <w:marLeft w:val="405"/>
                                                                                                                                      <w:marRight w:val="0"/>
                                                                                                                                      <w:marTop w:val="0"/>
                                                                                                                                      <w:marBottom w:val="0"/>
                                                                                                                                      <w:divBdr>
                                                                                                                                        <w:top w:val="none" w:sz="0" w:space="0" w:color="auto"/>
                                                                                                                                        <w:left w:val="none" w:sz="0" w:space="0" w:color="auto"/>
                                                                                                                                        <w:bottom w:val="none" w:sz="0" w:space="0" w:color="auto"/>
                                                                                                                                        <w:right w:val="none" w:sz="0" w:space="0" w:color="auto"/>
                                                                                                                                      </w:divBdr>
                                                                                                                                    </w:div>
                                                                                                                                    <w:div w:id="25496263">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717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za/url?sa=i&amp;rct=j&amp;q=&amp;esrc=s&amp;source=images&amp;cd=&amp;cad=rja&amp;uact=8&amp;ved=0ahUKEwjMj873uuzTAhUXOsAKHZBCB54QjRwIBw&amp;url=http://www.systemicrisk.org.za/&amp;psig=AFQjCNG3WRjQBuC7H2FO-2AHyXP59Sz3ig&amp;ust=1494750837555561" TargetMode="External"/><Relationship Id="rId13" Type="http://schemas.openxmlformats.org/officeDocument/2006/relationships/hyperlink" Target="http://docs.edhec-risk.com/ERI-Days-North-America-2013/documents/EDHEC-Risk_Position_Paper_Smart_Beta_2.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se.co.za/content/JSERulesPoliciesandRegulationItems/FTSE%20JSE%20Ground%20Rules%20.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se.co.za/content/JSERulesPoliciesandRegulationItems/FTSE%20JSE%20Ground%20Rules%20.pdf" TargetMode="External"/><Relationship Id="rId5" Type="http://schemas.openxmlformats.org/officeDocument/2006/relationships/webSettings" Target="webSettings.xml"/><Relationship Id="rId15" Type="http://schemas.openxmlformats.org/officeDocument/2006/relationships/hyperlink" Target="https://www.jse.co.za/content/JSERulesPoliciesandRegulationItems/FTSE%20JSE%20Ground%20Rules%20.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re.ac.uk/download/pdf/621858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5AA53-5EDD-4FC8-A4E5-31784201D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12</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Commerce IT</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Cogzell</dc:creator>
  <cp:keywords/>
  <dc:description/>
  <cp:lastModifiedBy>Daniel Cogzell</cp:lastModifiedBy>
  <cp:revision>23</cp:revision>
  <cp:lastPrinted>2017-05-13T08:59:00Z</cp:lastPrinted>
  <dcterms:created xsi:type="dcterms:W3CDTF">2017-05-17T17:34:00Z</dcterms:created>
  <dcterms:modified xsi:type="dcterms:W3CDTF">2017-05-22T15:00:00Z</dcterms:modified>
</cp:coreProperties>
</file>