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19/11/2024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Zoom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10:45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4</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2</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spacing w:after="240" w:before="240" w:lineRule="auto"/>
              <w:rPr>
                <w:sz w:val="22"/>
                <w:szCs w:val="22"/>
              </w:rPr>
            </w:pPr>
            <w:r w:rsidDel="00000000" w:rsidR="00000000" w:rsidRPr="00000000">
              <w:rPr>
                <w:b w:val="1"/>
                <w:sz w:val="22"/>
                <w:szCs w:val="22"/>
                <w:rtl w:val="0"/>
              </w:rPr>
              <w:t xml:space="preserve">Presentación de la planificación:</w:t>
            </w:r>
            <w:r w:rsidDel="00000000" w:rsidR="00000000" w:rsidRPr="00000000">
              <w:rPr>
                <w:sz w:val="22"/>
                <w:szCs w:val="22"/>
                <w:rtl w:val="0"/>
              </w:rPr>
              <w:t xml:space="preserve"> Se discutió la planificación del Sprint 4, resaltando los objetivos a corto y largo plazo. Se revisaron las tareas asignadas y se establecieron fechas clave para las próximas etapas. El enfoque estuvo en la correcta implementación de las funcionalidades relacionadas con la gestión de vehículos, generación de reportes, actualización de tarifas, y monitoreo de la actividad del sitio. También se destacó la importancia de solucionar algunos detalles pendientes en estas funciones para asegurar su funcionamiento óptimo.</w:t>
            </w:r>
          </w:p>
          <w:p w:rsidR="00000000" w:rsidDel="00000000" w:rsidP="00000000" w:rsidRDefault="00000000" w:rsidRPr="00000000" w14:paraId="00000036">
            <w:pPr>
              <w:widowControl w:val="0"/>
              <w:spacing w:after="240" w:before="240" w:lineRule="auto"/>
              <w:rPr>
                <w:sz w:val="22"/>
                <w:szCs w:val="22"/>
              </w:rPr>
            </w:pPr>
            <w:r w:rsidDel="00000000" w:rsidR="00000000" w:rsidRPr="00000000">
              <w:rPr>
                <w:b w:val="1"/>
                <w:sz w:val="22"/>
                <w:szCs w:val="22"/>
                <w:rtl w:val="0"/>
              </w:rPr>
              <w:t xml:space="preserve">Presentación de los avances de la aplicación:</w:t>
            </w:r>
            <w:r w:rsidDel="00000000" w:rsidR="00000000" w:rsidRPr="00000000">
              <w:rPr>
                <w:sz w:val="22"/>
                <w:szCs w:val="22"/>
                <w:rtl w:val="0"/>
              </w:rPr>
              <w:t xml:space="preserve"> Se presentaron los avances realizados hasta la fecha. Las funcionalidades relacionadas con la gestión de vehículos (H09), la generación de reportes sobre reservas, ingresos y vehículos (H11), la actualización de tarifas de alquiler y descuentos promocionales (H12), y el monitoreo de la actividad del sitio (H13) se pudieron implementar correctamente. Sin embargo, se mencionó que, aunque estas funciones están operativas, aún quedan algunos pequeños detalles por corregir, como optimizar la visualización de los reportes, ajustar los filtros de tarifas y mejorar el rendimiento del monitoreo en tiempo real. Estos detalles se están abordando para asegurar que todas las funcionalidades estén completamente alineadas con los requisitos establecidos.</w:t>
            </w:r>
          </w:p>
          <w:p w:rsidR="00000000" w:rsidDel="00000000" w:rsidP="00000000" w:rsidRDefault="00000000" w:rsidRPr="00000000" w14:paraId="00000037">
            <w:pPr>
              <w:widowControl w:val="0"/>
              <w:spacing w:after="240" w:before="240" w:lineRule="auto"/>
              <w:rPr>
                <w:sz w:val="22"/>
                <w:szCs w:val="22"/>
              </w:rPr>
            </w:pPr>
            <w:r w:rsidDel="00000000" w:rsidR="00000000" w:rsidRPr="00000000">
              <w:rPr>
                <w:b w:val="1"/>
                <w:sz w:val="22"/>
                <w:szCs w:val="22"/>
                <w:rtl w:val="0"/>
              </w:rPr>
              <w:t xml:space="preserve">Aceptación de las funcionalidades del Sprint 4:</w:t>
            </w:r>
            <w:r w:rsidDel="00000000" w:rsidR="00000000" w:rsidRPr="00000000">
              <w:rPr>
                <w:sz w:val="22"/>
                <w:szCs w:val="22"/>
                <w:rtl w:val="0"/>
              </w:rPr>
              <w:t xml:space="preserve"> Se realizó una revisión de las funcionalidades desarrolladas durante el Sprint 4. El equipo discutió y aprobó las funcionalidades implementadas, asegurando que cumplían con los criterios de aceptación establecidos. Se acordó priorizar la corrección de los pequeños detalles pendientes, especialmente en lo relacionado con la interfaz de usuario y la optimización de algunos procesos. Además, se acordó continuar con las pruebas para asegurar la integración fluida de todas las funcionalidades y mejorar la experiencia del usuario en la plataforma.</w:t>
            </w:r>
          </w:p>
          <w:p w:rsidR="00000000" w:rsidDel="00000000" w:rsidP="00000000" w:rsidRDefault="00000000" w:rsidRPr="00000000" w14:paraId="00000038">
            <w:pPr>
              <w:widowControl w:val="0"/>
              <w:spacing w:after="240" w:before="240" w:lineRule="auto"/>
              <w:ind w:left="720" w:firstLine="0"/>
              <w:rPr>
                <w:sz w:val="22"/>
                <w:szCs w:val="22"/>
              </w:rPr>
            </w:pPr>
            <w:r w:rsidDel="00000000" w:rsidR="00000000" w:rsidRPr="00000000">
              <w:rPr>
                <w:rtl w:val="0"/>
              </w:rPr>
            </w:r>
          </w:p>
          <w:p w:rsidR="00000000" w:rsidDel="00000000" w:rsidP="00000000" w:rsidRDefault="00000000" w:rsidRPr="00000000" w14:paraId="00000039">
            <w:pPr>
              <w:widowControl w:val="0"/>
              <w:spacing w:after="0" w:before="240" w:lineRule="auto"/>
              <w:ind w:left="720" w:firstLine="0"/>
              <w:rPr>
                <w:b w:val="1"/>
                <w:sz w:val="22"/>
                <w:szCs w:val="22"/>
              </w:rPr>
            </w:pPr>
            <w:r w:rsidDel="00000000" w:rsidR="00000000" w:rsidRPr="00000000">
              <w:rPr>
                <w:rtl w:val="0"/>
              </w:rPr>
            </w:r>
          </w:p>
          <w:p w:rsidR="00000000" w:rsidDel="00000000" w:rsidP="00000000" w:rsidRDefault="00000000" w:rsidRPr="00000000" w14:paraId="0000003A">
            <w:pPr>
              <w:widowControl w:val="0"/>
              <w:ind w:left="0" w:firstLine="0"/>
              <w:jc w:val="both"/>
              <w:rPr>
                <w:b w:val="1"/>
                <w:sz w:val="22"/>
                <w:szCs w:val="22"/>
              </w:rPr>
            </w:pPr>
            <w:r w:rsidDel="00000000" w:rsidR="00000000" w:rsidRPr="00000000">
              <w:rPr>
                <w:rtl w:val="0"/>
              </w:rPr>
            </w:r>
          </w:p>
        </w:tc>
      </w:tr>
    </w:tbl>
    <w:p w:rsidR="00000000" w:rsidDel="00000000" w:rsidP="00000000" w:rsidRDefault="00000000" w:rsidRPr="00000000" w14:paraId="0000003B">
      <w:pPr>
        <w:ind w:firstLine="708"/>
        <w:jc w:val="both"/>
        <w:rPr>
          <w:color w:val="000000"/>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-499079</wp:posOffset>
          </wp:positionV>
          <wp:extent cx="2209800" cy="367030"/>
          <wp:effectExtent b="0" l="0" r="0" t="0"/>
          <wp:wrapSquare wrapText="bothSides" distB="0" distT="0" distL="114300" distR="114300"/>
          <wp:docPr id="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V/sqKYsBmnI4lAXPESnmXIc2g==">CgMxLjA4AHIhMURhOFZRRlpfMGRROUtralBUWmFyeC1MS3kxakw5am5O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