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B5B7" w14:textId="79B44528" w:rsidR="007C6E07" w:rsidRPr="00525782" w:rsidRDefault="001A18A7" w:rsidP="009442FF">
      <w:pPr>
        <w:spacing w:after="0"/>
        <w:jc w:val="center"/>
        <w:rPr>
          <w:b/>
          <w:bCs/>
          <w:sz w:val="24"/>
          <w:szCs w:val="24"/>
        </w:rPr>
      </w:pPr>
      <w:r w:rsidRPr="00525782">
        <w:rPr>
          <w:b/>
          <w:bCs/>
          <w:sz w:val="24"/>
          <w:szCs w:val="24"/>
        </w:rPr>
        <w:t>FIQUE ATENTO</w:t>
      </w:r>
    </w:p>
    <w:tbl>
      <w:tblPr>
        <w:tblStyle w:val="Tabelacomgrade"/>
        <w:tblW w:w="0" w:type="auto"/>
        <w:tblBorders>
          <w:top w:val="single" w:sz="12" w:space="0" w:color="FFC000" w:themeColor="accent4"/>
          <w:left w:val="single" w:sz="12" w:space="0" w:color="FFC000" w:themeColor="accent4"/>
          <w:bottom w:val="single" w:sz="12" w:space="0" w:color="FFC000" w:themeColor="accent4"/>
          <w:right w:val="single" w:sz="12" w:space="0" w:color="FFC000" w:themeColor="accent4"/>
          <w:insideH w:val="single" w:sz="12" w:space="0" w:color="FFC000" w:themeColor="accent4"/>
          <w:insideV w:val="single" w:sz="12" w:space="0" w:color="FFC000" w:themeColor="accent4"/>
        </w:tblBorders>
        <w:tblLook w:val="04A0" w:firstRow="1" w:lastRow="0" w:firstColumn="1" w:lastColumn="0" w:noHBand="0" w:noVBand="1"/>
      </w:tblPr>
      <w:tblGrid>
        <w:gridCol w:w="10436"/>
      </w:tblGrid>
      <w:tr w:rsidR="001A18A7" w14:paraId="0FD7DB27" w14:textId="77777777" w:rsidTr="003D79AD">
        <w:tc>
          <w:tcPr>
            <w:tcW w:w="10456" w:type="dxa"/>
          </w:tcPr>
          <w:p w14:paraId="7A568ED4" w14:textId="77777777" w:rsidR="001A18A7" w:rsidRPr="00525782" w:rsidRDefault="001A18A7" w:rsidP="009442FF">
            <w:pPr>
              <w:jc w:val="center"/>
              <w:rPr>
                <w:b/>
                <w:bCs/>
              </w:rPr>
            </w:pPr>
            <w:r w:rsidRPr="00525782">
              <w:rPr>
                <w:b/>
                <w:bCs/>
              </w:rPr>
              <w:t>O que acontece quando é pago somente o valor mínimo da fatura?</w:t>
            </w:r>
          </w:p>
          <w:p w14:paraId="782454FF" w14:textId="2609821E" w:rsidR="001A18A7" w:rsidRDefault="001A18A7" w:rsidP="009442FF">
            <w:pPr>
              <w:jc w:val="center"/>
            </w:pPr>
            <w:r w:rsidRPr="00525782">
              <w:rPr>
                <w:b/>
                <w:bCs/>
              </w:rPr>
              <w:t>Veja o exemplo</w:t>
            </w:r>
          </w:p>
          <w:tbl>
            <w:tblPr>
              <w:tblStyle w:val="Tabelacomgrade"/>
              <w:tblW w:w="0" w:type="auto"/>
              <w:tblBorders>
                <w:top w:val="single" w:sz="12" w:space="0" w:color="FFC000" w:themeColor="accent4"/>
                <w:left w:val="single" w:sz="12" w:space="0" w:color="FFC000" w:themeColor="accent4"/>
                <w:bottom w:val="single" w:sz="12" w:space="0" w:color="FFC000" w:themeColor="accent4"/>
                <w:right w:val="single" w:sz="12" w:space="0" w:color="FFC000" w:themeColor="accent4"/>
                <w:insideH w:val="single" w:sz="12" w:space="0" w:color="FFC000" w:themeColor="accent4"/>
                <w:insideV w:val="single" w:sz="12" w:space="0" w:color="FFC000" w:themeColor="accent4"/>
              </w:tblBorders>
              <w:tblLook w:val="04A0" w:firstRow="1" w:lastRow="0" w:firstColumn="1" w:lastColumn="0" w:noHBand="0" w:noVBand="1"/>
            </w:tblPr>
            <w:tblGrid>
              <w:gridCol w:w="5095"/>
              <w:gridCol w:w="5095"/>
            </w:tblGrid>
            <w:tr w:rsidR="009442FF" w14:paraId="5712032C" w14:textId="77777777" w:rsidTr="003D79AD">
              <w:tc>
                <w:tcPr>
                  <w:tcW w:w="10230" w:type="dxa"/>
                  <w:gridSpan w:val="2"/>
                </w:tcPr>
                <w:p w14:paraId="41182A0D" w14:textId="26648D7F" w:rsidR="009442FF" w:rsidRDefault="009442FF" w:rsidP="009442FF">
                  <w:pPr>
                    <w:jc w:val="center"/>
                  </w:pPr>
                  <w:r>
                    <w:t>FATURA</w:t>
                  </w:r>
                </w:p>
              </w:tc>
            </w:tr>
            <w:tr w:rsidR="001A18A7" w14:paraId="70486597" w14:textId="77777777" w:rsidTr="003D79AD">
              <w:tc>
                <w:tcPr>
                  <w:tcW w:w="5115" w:type="dxa"/>
                </w:tcPr>
                <w:p w14:paraId="69108FA4" w14:textId="01332CD2" w:rsidR="001A18A7" w:rsidRDefault="001A18A7" w:rsidP="009442FF">
                  <w:r>
                    <w:t>Valor total a pagar</w:t>
                  </w:r>
                </w:p>
              </w:tc>
              <w:tc>
                <w:tcPr>
                  <w:tcW w:w="5115" w:type="dxa"/>
                </w:tcPr>
                <w:p w14:paraId="3B636C8E" w14:textId="30D26F10" w:rsidR="001A18A7" w:rsidRDefault="001A18A7" w:rsidP="009442FF">
                  <w:pPr>
                    <w:jc w:val="center"/>
                  </w:pPr>
                  <w:r>
                    <w:t>R$ 1.500,00</w:t>
                  </w:r>
                </w:p>
              </w:tc>
            </w:tr>
            <w:tr w:rsidR="001A18A7" w14:paraId="78E34BEB" w14:textId="77777777" w:rsidTr="003D79AD">
              <w:tc>
                <w:tcPr>
                  <w:tcW w:w="5115" w:type="dxa"/>
                </w:tcPr>
                <w:p w14:paraId="14EC3CB4" w14:textId="360A354B" w:rsidR="001A18A7" w:rsidRDefault="001A18A7" w:rsidP="009442FF">
                  <w:r>
                    <w:t>Valor mínimo a pagar</w:t>
                  </w:r>
                </w:p>
              </w:tc>
              <w:tc>
                <w:tcPr>
                  <w:tcW w:w="5115" w:type="dxa"/>
                </w:tcPr>
                <w:p w14:paraId="45E18CCC" w14:textId="6E082319" w:rsidR="001A18A7" w:rsidRDefault="001A18A7" w:rsidP="009442FF">
                  <w:pPr>
                    <w:jc w:val="center"/>
                  </w:pPr>
                  <w:r>
                    <w:t>R$     200,00</w:t>
                  </w:r>
                </w:p>
              </w:tc>
            </w:tr>
          </w:tbl>
          <w:p w14:paraId="55D175D1" w14:textId="77777777" w:rsidR="001A18A7" w:rsidRDefault="001A18A7" w:rsidP="009442FF"/>
          <w:p w14:paraId="66FCD6F4" w14:textId="66457845" w:rsidR="001A18A7" w:rsidRDefault="001A18A7" w:rsidP="00332738">
            <w:pPr>
              <w:jc w:val="both"/>
            </w:pPr>
            <w:r>
              <w:t>Recebendo uma fatura com estes valores e optando por pagar somente o valor mínimo (R$200,00), o consumidor estará deixando de pagar R$1.300,00 do valor total: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220"/>
            </w:tblGrid>
            <w:tr w:rsidR="001A18A7" w14:paraId="0FDFF111" w14:textId="77777777" w:rsidTr="009442FF">
              <w:tc>
                <w:tcPr>
                  <w:tcW w:w="102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000" w:themeFill="accent4"/>
                </w:tcPr>
                <w:p w14:paraId="2DE39BE2" w14:textId="1896CC40" w:rsidR="001A18A7" w:rsidRDefault="001A18A7" w:rsidP="009442FF">
                  <w:pPr>
                    <w:jc w:val="center"/>
                  </w:pPr>
                  <w:r>
                    <w:t>R$ 1.500,00</w:t>
                  </w:r>
                  <w:r>
                    <w:t xml:space="preserve"> - </w:t>
                  </w:r>
                  <w:r>
                    <w:t>R$ 200,</w:t>
                  </w:r>
                  <w:r w:rsidR="00A679AD">
                    <w:t>00 = R</w:t>
                  </w:r>
                  <w:r>
                    <w:t>$ 1.</w:t>
                  </w:r>
                  <w:r>
                    <w:t>3</w:t>
                  </w:r>
                  <w:r>
                    <w:t>00,00</w:t>
                  </w:r>
                </w:p>
              </w:tc>
            </w:tr>
          </w:tbl>
          <w:p w14:paraId="06EE3335" w14:textId="7886EB5E" w:rsidR="001A18A7" w:rsidRDefault="001A18A7" w:rsidP="00332738">
            <w:pPr>
              <w:jc w:val="both"/>
            </w:pPr>
            <w:r>
              <w:t xml:space="preserve">Esses </w:t>
            </w:r>
            <w:r>
              <w:t>R$ 1.300,00</w:t>
            </w:r>
            <w:r>
              <w:t xml:space="preserve"> restantes serão cobrados na próxima fatura, com juros.</w:t>
            </w:r>
          </w:p>
          <w:p w14:paraId="6B00665D" w14:textId="52E32082" w:rsidR="001A18A7" w:rsidRDefault="001A18A7" w:rsidP="00332738">
            <w:pPr>
              <w:jc w:val="both"/>
            </w:pPr>
            <w:r>
              <w:t xml:space="preserve">Se for cobrada uma taxa de juros de 15% ao mês, </w:t>
            </w:r>
            <w:r>
              <w:t>R$ 1.300,00</w:t>
            </w:r>
            <w:r>
              <w:t xml:space="preserve"> serão, no próximo mês, </w:t>
            </w:r>
            <w:r>
              <w:t>R$ 1.</w:t>
            </w:r>
            <w:r>
              <w:t>495</w:t>
            </w:r>
            <w:r>
              <w:t>,00</w:t>
            </w:r>
            <w:r>
              <w:t>.</w:t>
            </w:r>
          </w:p>
          <w:p w14:paraId="12F24A1F" w14:textId="0F0B7B70" w:rsidR="001A18A7" w:rsidRDefault="001A18A7" w:rsidP="00332738">
            <w:pPr>
              <w:spacing w:line="259" w:lineRule="auto"/>
              <w:jc w:val="both"/>
            </w:pPr>
            <w:r>
              <w:t>R$ 1.500,00 - R$ 200,</w:t>
            </w:r>
            <w:proofErr w:type="gramStart"/>
            <w:r>
              <w:t>00  =</w:t>
            </w:r>
            <w:proofErr w:type="gramEnd"/>
            <w:r>
              <w:t xml:space="preserve">  R$ 1.300,00</w:t>
            </w:r>
            <w:r w:rsidR="003571BE">
              <w:t>.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220"/>
            </w:tblGrid>
            <w:tr w:rsidR="003571BE" w14:paraId="23502F49" w14:textId="77777777" w:rsidTr="009442FF">
              <w:tc>
                <w:tcPr>
                  <w:tcW w:w="102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000" w:themeFill="accent4"/>
                </w:tcPr>
                <w:p w14:paraId="6796E806" w14:textId="17318B67" w:rsidR="003571BE" w:rsidRDefault="003571BE" w:rsidP="009442FF">
                  <w:pPr>
                    <w:jc w:val="center"/>
                  </w:pPr>
                  <w:r>
                    <w:t>R$ 1.</w:t>
                  </w:r>
                  <w:r>
                    <w:t>3</w:t>
                  </w:r>
                  <w:r>
                    <w:t xml:space="preserve">00,00 </w:t>
                  </w:r>
                  <w:r>
                    <w:t>+</w:t>
                  </w:r>
                  <w:r>
                    <w:t xml:space="preserve"> R$ </w:t>
                  </w:r>
                  <w:r>
                    <w:t>195</w:t>
                  </w:r>
                  <w:r>
                    <w:t xml:space="preserve">,00 </w:t>
                  </w:r>
                  <w:r>
                    <w:t>(juros)</w:t>
                  </w:r>
                  <w:r>
                    <w:t xml:space="preserve"> </w:t>
                  </w:r>
                  <w:r w:rsidR="00A679AD">
                    <w:t>= R</w:t>
                  </w:r>
                  <w:r>
                    <w:t>$ 1.</w:t>
                  </w:r>
                  <w:r>
                    <w:t>495</w:t>
                  </w:r>
                  <w:r>
                    <w:t>,00</w:t>
                  </w:r>
                </w:p>
              </w:tc>
            </w:tr>
          </w:tbl>
          <w:p w14:paraId="468B29E4" w14:textId="62537684" w:rsidR="003571BE" w:rsidRDefault="003571BE" w:rsidP="00332738">
            <w:pPr>
              <w:spacing w:line="259" w:lineRule="auto"/>
              <w:jc w:val="both"/>
            </w:pPr>
            <w:r>
              <w:t>Veja!</w:t>
            </w:r>
          </w:p>
          <w:p w14:paraId="36F684AA" w14:textId="1AD2FA4C" w:rsidR="003571BE" w:rsidRDefault="003571BE" w:rsidP="00332738">
            <w:pPr>
              <w:spacing w:line="259" w:lineRule="auto"/>
              <w:jc w:val="both"/>
            </w:pPr>
            <w:r>
              <w:t>Foram pagos R$ 200,00.</w:t>
            </w:r>
          </w:p>
          <w:p w14:paraId="2AD8EEA2" w14:textId="7ABCC6D8" w:rsidR="003571BE" w:rsidRDefault="003571BE" w:rsidP="00332738">
            <w:pPr>
              <w:spacing w:line="259" w:lineRule="auto"/>
              <w:jc w:val="both"/>
              <w:rPr>
                <w:u w:val="single"/>
              </w:rPr>
            </w:pPr>
            <w:r>
              <w:t xml:space="preserve">Houve um acréscimo de juros igual R$195,00. Na prática então, foram pagos somente </w:t>
            </w:r>
            <w:r w:rsidRPr="003571BE">
              <w:rPr>
                <w:u w:val="single"/>
              </w:rPr>
              <w:t>R$ 5,00 do valor total devido inicialmente.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220"/>
            </w:tblGrid>
            <w:tr w:rsidR="003571BE" w14:paraId="488D50C0" w14:textId="77777777" w:rsidTr="003D79AD">
              <w:tc>
                <w:tcPr>
                  <w:tcW w:w="102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000" w:themeFill="accent4"/>
                </w:tcPr>
                <w:p w14:paraId="0317F136" w14:textId="53D6E0DA" w:rsidR="003571BE" w:rsidRDefault="003571BE" w:rsidP="009442FF">
                  <w:pPr>
                    <w:jc w:val="center"/>
                    <w:rPr>
                      <w:u w:val="single"/>
                    </w:rPr>
                  </w:pPr>
                  <w:r>
                    <w:t>R$ 200,</w:t>
                  </w:r>
                  <w:proofErr w:type="gramStart"/>
                  <w:r>
                    <w:t xml:space="preserve">00  </w:t>
                  </w:r>
                  <w:r>
                    <w:t>-</w:t>
                  </w:r>
                  <w:proofErr w:type="gramEnd"/>
                  <w:r>
                    <w:t xml:space="preserve"> R$ 195,00</w:t>
                  </w:r>
                  <w:r>
                    <w:t xml:space="preserve"> = R$ 5,00</w:t>
                  </w:r>
                </w:p>
              </w:tc>
            </w:tr>
          </w:tbl>
          <w:p w14:paraId="37254780" w14:textId="6099486C" w:rsidR="003571BE" w:rsidRDefault="003571BE" w:rsidP="00332738">
            <w:pPr>
              <w:spacing w:line="259" w:lineRule="auto"/>
              <w:jc w:val="both"/>
            </w:pPr>
            <w:r w:rsidRPr="003571BE">
              <w:t>A conta toda é a seguinte: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220"/>
            </w:tblGrid>
            <w:tr w:rsidR="003571BE" w14:paraId="07E957FF" w14:textId="77777777" w:rsidTr="003D79AD">
              <w:tc>
                <w:tcPr>
                  <w:tcW w:w="102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000" w:themeFill="accent4"/>
                </w:tcPr>
                <w:p w14:paraId="0485465F" w14:textId="12C06802" w:rsidR="003571BE" w:rsidRDefault="003571BE" w:rsidP="009442FF">
                  <w:r>
                    <w:t xml:space="preserve">R$ 1.500,00 </w:t>
                  </w:r>
                  <w:r>
                    <w:t xml:space="preserve">(valor total) </w:t>
                  </w:r>
                  <w:r>
                    <w:t>- R$ 200,</w:t>
                  </w:r>
                  <w:r w:rsidR="00A679AD">
                    <w:t>00 (</w:t>
                  </w:r>
                  <w:r>
                    <w:t xml:space="preserve">pagamento mínimo) </w:t>
                  </w:r>
                  <w:r>
                    <w:t xml:space="preserve">+ R$ 195,00 (juros) </w:t>
                  </w:r>
                  <w:r w:rsidR="00A679AD">
                    <w:t>= R</w:t>
                  </w:r>
                  <w:r>
                    <w:t>$ 1.495,00</w:t>
                  </w:r>
                  <w:r>
                    <w:t xml:space="preserve"> (valor a pagar na próxima fatura)</w:t>
                  </w:r>
                </w:p>
              </w:tc>
            </w:tr>
          </w:tbl>
          <w:p w14:paraId="784F28A9" w14:textId="736E7A54" w:rsidR="001A18A7" w:rsidRDefault="003571BE" w:rsidP="00332738">
            <w:pPr>
              <w:spacing w:line="259" w:lineRule="auto"/>
              <w:jc w:val="both"/>
            </w:pPr>
            <w:r>
              <w:t>É por isso que para quem paga apenas o valor mínimo, a dívida nunca termina, transformando-se numa verdadeira “bola de neve”.</w:t>
            </w:r>
          </w:p>
        </w:tc>
      </w:tr>
    </w:tbl>
    <w:p w14:paraId="13CE1355" w14:textId="549CC8A4" w:rsidR="001A18A7" w:rsidRDefault="003571BE" w:rsidP="00332738">
      <w:pPr>
        <w:spacing w:after="0"/>
        <w:jc w:val="both"/>
      </w:pPr>
      <w:r>
        <w:t xml:space="preserve">Não esqueça </w:t>
      </w:r>
      <w:r w:rsidR="00525782">
        <w:t>que as administradoras dos cartões também podem cobrar uma taxa anual (anuidade) pelo serviço do cartão, o que significa que mesmo que o cartão não seja utilizado, você terá que pagar esse valor.</w:t>
      </w:r>
    </w:p>
    <w:p w14:paraId="6C739DBD" w14:textId="77777777" w:rsidR="00525782" w:rsidRPr="009442FF" w:rsidRDefault="00525782" w:rsidP="00332738">
      <w:pPr>
        <w:spacing w:after="0"/>
        <w:jc w:val="both"/>
        <w:rPr>
          <w:sz w:val="18"/>
          <w:szCs w:val="18"/>
        </w:rPr>
      </w:pPr>
      <w:r w:rsidRPr="009442FF">
        <w:rPr>
          <w:sz w:val="18"/>
          <w:szCs w:val="18"/>
        </w:rPr>
        <w:t>(Informações tiradas do informe ‘Educação Financeira” da Fundação Procon SP)</w:t>
      </w:r>
    </w:p>
    <w:p w14:paraId="1DCA1425" w14:textId="77777777" w:rsidR="00525782" w:rsidRDefault="00525782" w:rsidP="00332738">
      <w:pPr>
        <w:spacing w:after="0"/>
        <w:jc w:val="both"/>
      </w:pPr>
    </w:p>
    <w:sectPr w:rsidR="00525782" w:rsidSect="001A18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A7"/>
    <w:rsid w:val="001A18A7"/>
    <w:rsid w:val="00332738"/>
    <w:rsid w:val="003571BE"/>
    <w:rsid w:val="003D79AD"/>
    <w:rsid w:val="00525782"/>
    <w:rsid w:val="007C6E07"/>
    <w:rsid w:val="009442FF"/>
    <w:rsid w:val="00A6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61BA8"/>
  <w15:chartTrackingRefBased/>
  <w15:docId w15:val="{8D681F14-734A-431D-9FF1-E72C478A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A1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2024-05-28T13:49:00Z</dcterms:created>
  <dcterms:modified xsi:type="dcterms:W3CDTF">2024-05-28T14:33:00Z</dcterms:modified>
</cp:coreProperties>
</file>