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pacing w:val="20"/>
          <w:sz w:val="18"/>
          <w:szCs w:val="18"/>
        </w:rPr>
        <w:t xml:space="preserve">PROJECT SUMMARY — PLAIN LANGUAGE GUIDE</w:t>
      </w:r>
    </w:p>
    <w:p>
      <w:pPr>
        <w:spacing w:after="60"/>
      </w:pPr>
      <w:r>
        <w:rPr>
          <w:b/>
          <w:bCs/>
          <w:color w:val="1B2A4A"/>
          <w:sz w:val="34"/>
          <w:szCs w:val="34"/>
        </w:rPr>
        <w:t xml:space="preserve">How the Nursing Student Academic Advisory System Works</w:t>
      </w:r>
    </w:p>
    <w:p>
      <w:pPr>
        <w:spacing w:after="300"/>
      </w:pPr>
      <w:r>
        <w:rPr>
          <w:i/>
          <w:iCs/>
          <w:color w:val="5C6773"/>
          <w:sz w:val="21"/>
          <w:szCs w:val="21"/>
        </w:rPr>
        <w:t xml:space="preserve">Design and Implementation of an Expert System for Student Use in the School of Nursing, Caritas University</w:t>
      </w:r>
    </w:p>
    <w:p>
      <w:pPr>
        <w:spacing w:after="140" w:line="300"/>
      </w:pPr>
      <w:r>
        <w:rPr>
          <w:color w:val="222222"/>
          <w:sz w:val="22"/>
          <w:szCs w:val="22"/>
        </w:rPr>
        <w:t xml:space="preserve">This document explains what the system does and how it works, in plain terms — you don’t need to open or click through the software to understand it from this. It’s meant to give you a clear picture before you prepare your report.</w:t>
      </w:r>
    </w:p>
    <w:p>
      <w:pPr>
        <w:pStyle w:val="Heading1"/>
        <w:spacing w:after="140" w:before="320"/>
      </w:pPr>
      <w:r>
        <w:t xml:space="preserve">What This Is, In One Paragraph</w:t>
      </w:r>
    </w:p>
    <w:p>
      <w:pPr>
        <w:spacing w:after="140" w:line="300"/>
      </w:pPr>
      <w:r>
        <w:rPr>
          <w:color w:val="222222"/>
          <w:sz w:val="22"/>
          <w:szCs w:val="22"/>
        </w:rPr>
        <w:t xml:space="preserve">This is a rule-based advisory tool for nursing students. A student enters their course grades, and the system checks that record against a fixed set of written rules — things like "if CGPA is below 2.00, flag a probation risk" or "if a clinical prerequisite is missing, block that placement." Based on which rules match, the system gives specific advice, explains exactly why it gave that advice, and states how confident it is in each recommendation. It is not a chatbot and does not guess — every piece of advice traces back to an exact, readable rule.</w:t>
      </w:r>
    </w:p>
    <w:p>
      <w:pPr>
        <w:pStyle w:val="Heading1"/>
        <w:spacing w:after="140" w:before="320"/>
      </w:pPr>
      <w:r>
        <w:t xml:space="preserve">The Two Sides of the App</w:t>
      </w:r>
    </w:p>
    <w:p>
      <w:pPr>
        <w:spacing w:after="140" w:line="300"/>
      </w:pPr>
      <w:r>
        <w:rPr>
          <w:color w:val="222222"/>
          <w:sz w:val="22"/>
          <w:szCs w:val="22"/>
        </w:rPr>
        <w:t xml:space="preserve">The system has two separate areas:</w:t>
      </w:r>
    </w:p>
    <w:p>
      <w:pPr>
        <w:pStyle w:val="ListParagraph"/>
        <w:numPr>
          <w:ilvl w:val="0"/>
          <w:numId w:val="2"/>
        </w:numPr>
        <w:spacing w:after="80" w:line="290"/>
      </w:pPr>
      <w:r>
        <w:rPr>
          <w:color w:val="222222"/>
          <w:sz w:val="22"/>
          <w:szCs w:val="22"/>
        </w:rPr>
        <w:t xml:space="preserve">Student — one student manages and views their own academic record.</w:t>
      </w:r>
    </w:p>
    <w:p>
      <w:pPr>
        <w:pStyle w:val="ListParagraph"/>
        <w:numPr>
          <w:ilvl w:val="0"/>
          <w:numId w:val="2"/>
        </w:numPr>
        <w:spacing w:after="80" w:line="290"/>
      </w:pPr>
      <w:r>
        <w:rPr>
          <w:color w:val="222222"/>
          <w:sz w:val="22"/>
          <w:szCs w:val="22"/>
        </w:rPr>
        <w:t xml:space="preserve">Admin — for staff use. Can view the full list of rules the system runs on, or open any individual student’s dashboard to see their results (view only, cannot edit).</w:t>
      </w:r>
    </w:p>
    <w:p>
      <w:pPr>
        <w:pStyle w:val="Heading1"/>
        <w:spacing w:after="140" w:before="320"/>
      </w:pPr>
      <w:r>
        <w:t xml:space="preserve">What a Student Sees and Does</w:t>
      </w:r>
    </w:p>
    <w:p>
      <w:pPr>
        <w:spacing w:after="120" w:line="290"/>
      </w:pPr>
      <w:r>
        <w:rPr>
          <w:b/>
          <w:bCs/>
          <w:color w:val="B08A3E"/>
          <w:sz w:val="22"/>
          <w:szCs w:val="22"/>
        </w:rPr>
        <w:t xml:space="preserve">1.  </w:t>
      </w:r>
      <w:r>
        <w:rPr>
          <w:b/>
          <w:bCs/>
          <w:color w:val="1B2A4A"/>
          <w:sz w:val="22"/>
          <w:szCs w:val="22"/>
        </w:rPr>
        <w:t xml:space="preserve">Enter grades — </w:t>
      </w:r>
      <w:r>
        <w:rPr>
          <w:color w:val="222222"/>
          <w:sz w:val="22"/>
          <w:szCs w:val="22"/>
        </w:rPr>
        <w:t xml:space="preserve">The student sees every course in the nursing curriculum and picks a letter grade (A–F) for each one they’ve completed. Nothing is calculated by hand — the system does it live as grades are entered.</w:t>
      </w:r>
    </w:p>
    <w:p>
      <w:pPr>
        <w:spacing w:after="120" w:line="290"/>
      </w:pPr>
      <w:r>
        <w:rPr>
          <w:b/>
          <w:bCs/>
          <w:color w:val="B08A3E"/>
          <w:sz w:val="22"/>
          <w:szCs w:val="22"/>
        </w:rPr>
        <w:t xml:space="preserve">2.  </w:t>
      </w:r>
      <w:r>
        <w:rPr>
          <w:b/>
          <w:bCs/>
          <w:color w:val="1B2A4A"/>
          <w:sz w:val="22"/>
          <w:szCs w:val="22"/>
        </w:rPr>
        <w:t xml:space="preserve">See a live summary — </w:t>
      </w:r>
      <w:r>
        <w:rPr>
          <w:color w:val="222222"/>
          <w:sz w:val="22"/>
          <w:szCs w:val="22"/>
        </w:rPr>
        <w:t xml:space="preserve">A small panel updates automatically showing CGPA, credit units completed, how many required courses are still outstanding, and whether any clinical placement course is currently blocked.</w:t>
      </w:r>
    </w:p>
    <w:p>
      <w:pPr>
        <w:spacing w:after="120" w:line="290"/>
      </w:pPr>
      <w:r>
        <w:rPr>
          <w:b/>
          <w:bCs/>
          <w:color w:val="B08A3E"/>
          <w:sz w:val="22"/>
          <w:szCs w:val="22"/>
        </w:rPr>
        <w:t xml:space="preserve">3.  </w:t>
      </w:r>
      <w:r>
        <w:rPr>
          <w:b/>
          <w:bCs/>
          <w:color w:val="1B2A4A"/>
          <w:sz w:val="22"/>
          <w:szCs w:val="22"/>
        </w:rPr>
        <w:t xml:space="preserve">See a Graduation Readiness score — </w:t>
      </w:r>
      <w:r>
        <w:rPr>
          <w:color w:val="222222"/>
          <w:sz w:val="22"/>
          <w:szCs w:val="22"/>
        </w:rPr>
        <w:t xml:space="preserve">One overall percentage (for example, 82%) showing how on-track the student is, broken into four parts: Academic standing, Credit units, CGPA, and Clinical readiness.</w:t>
      </w:r>
    </w:p>
    <w:p>
      <w:pPr>
        <w:spacing w:after="120" w:line="290"/>
      </w:pPr>
      <w:r>
        <w:rPr>
          <w:b/>
          <w:bCs/>
          <w:color w:val="B08A3E"/>
          <w:sz w:val="22"/>
          <w:szCs w:val="22"/>
        </w:rPr>
        <w:t xml:space="preserve">4.  </w:t>
      </w:r>
      <w:r>
        <w:rPr>
          <w:b/>
          <w:bCs/>
          <w:color w:val="1B2A4A"/>
          <w:sz w:val="22"/>
          <w:szCs w:val="22"/>
        </w:rPr>
        <w:t xml:space="preserve">See a Degree Audit — </w:t>
      </w:r>
      <w:r>
        <w:rPr>
          <w:color w:val="222222"/>
          <w:sz w:val="22"/>
          <w:szCs w:val="22"/>
        </w:rPr>
        <w:t xml:space="preserve">A simple two-column list — courses still remaining, and courses already completed — for their current level.</w:t>
      </w:r>
    </w:p>
    <w:p>
      <w:pPr>
        <w:spacing w:after="120" w:line="290"/>
      </w:pPr>
      <w:r>
        <w:rPr>
          <w:b/>
          <w:bCs/>
          <w:color w:val="B08A3E"/>
          <w:sz w:val="22"/>
          <w:szCs w:val="22"/>
        </w:rPr>
        <w:t xml:space="preserve">5.  </w:t>
      </w:r>
      <w:r>
        <w:rPr>
          <w:b/>
          <w:bCs/>
          <w:color w:val="1B2A4A"/>
          <w:sz w:val="22"/>
          <w:szCs w:val="22"/>
        </w:rPr>
        <w:t xml:space="preserve">Run the advisory analysis — </w:t>
      </w:r>
      <w:r>
        <w:rPr>
          <w:color w:val="222222"/>
          <w:sz w:val="22"/>
          <w:szCs w:val="22"/>
        </w:rPr>
        <w:t xml:space="preserve">One button click produces a list of specific, written advice — for example, suggesting a specialization track, or warning that clinical placement isn’t available yet. Each piece of advice can be expanded to show exactly why the system said it, and a percentage showing how confident the system is in that specific recommendation.</w:t>
      </w:r>
    </w:p>
    <w:p>
      <w:pPr>
        <w:spacing w:after="120" w:line="290"/>
      </w:pPr>
      <w:r>
        <w:rPr>
          <w:b/>
          <w:bCs/>
          <w:color w:val="B08A3E"/>
          <w:sz w:val="22"/>
          <w:szCs w:val="22"/>
        </w:rPr>
        <w:t xml:space="preserve">6.  </w:t>
      </w:r>
      <w:r>
        <w:rPr>
          <w:b/>
          <w:bCs/>
          <w:color w:val="1B2A4A"/>
          <w:sz w:val="22"/>
          <w:szCs w:val="22"/>
        </w:rPr>
        <w:t xml:space="preserve">Print or save the report — </w:t>
      </w:r>
      <w:r>
        <w:rPr>
          <w:color w:val="222222"/>
          <w:sz w:val="22"/>
          <w:szCs w:val="22"/>
        </w:rPr>
        <w:t xml:space="preserve">The results can be printed or saved as a clean, formatted report — useful for keeping a copy or showing someone else.</w:t>
      </w:r>
    </w:p>
    <w:p>
      <w:pPr>
        <w:pStyle w:val="Heading1"/>
        <w:spacing w:after="140" w:before="320"/>
      </w:pPr>
      <w:r>
        <w:t xml:space="preserve">What an Admin Sees and Does</w:t>
      </w:r>
    </w:p>
    <w:p>
      <w:pPr>
        <w:spacing w:after="120" w:line="290"/>
      </w:pPr>
      <w:r>
        <w:rPr>
          <w:b/>
          <w:bCs/>
          <w:color w:val="B08A3E"/>
          <w:sz w:val="22"/>
          <w:szCs w:val="22"/>
        </w:rPr>
        <w:t xml:space="preserve">1.  </w:t>
      </w:r>
      <w:r>
        <w:rPr>
          <w:b/>
          <w:bCs/>
          <w:color w:val="1B2A4A"/>
          <w:sz w:val="22"/>
          <w:szCs w:val="22"/>
        </w:rPr>
        <w:t xml:space="preserve">Log in — </w:t>
      </w:r>
      <w:r>
        <w:rPr>
          <w:color w:val="222222"/>
          <w:sz w:val="22"/>
          <w:szCs w:val="22"/>
        </w:rPr>
        <w:t xml:space="preserve">Enter a password to reach the admin area (a demo password, since there’s no real login system behind this — more on that below).</w:t>
      </w:r>
    </w:p>
    <w:p>
      <w:pPr>
        <w:spacing w:after="120" w:line="290"/>
      </w:pPr>
      <w:r>
        <w:rPr>
          <w:b/>
          <w:bCs/>
          <w:color w:val="B08A3E"/>
          <w:sz w:val="22"/>
          <w:szCs w:val="22"/>
        </w:rPr>
        <w:t xml:space="preserve">2.  </w:t>
      </w:r>
      <w:r>
        <w:rPr>
          <w:b/>
          <w:bCs/>
          <w:color w:val="1B2A4A"/>
          <w:sz w:val="22"/>
          <w:szCs w:val="22"/>
        </w:rPr>
        <w:t xml:space="preserve">Choose a view — </w:t>
      </w:r>
      <w:r>
        <w:rPr>
          <w:color w:val="222222"/>
          <w:sz w:val="22"/>
          <w:szCs w:val="22"/>
        </w:rPr>
        <w:t xml:space="preserve">Two options: view the Knowledge Base (every rule the system runs, in plain language), or view Student Records.</w:t>
      </w:r>
    </w:p>
    <w:p>
      <w:pPr>
        <w:spacing w:after="120" w:line="290"/>
      </w:pPr>
      <w:r>
        <w:rPr>
          <w:b/>
          <w:bCs/>
          <w:color w:val="B08A3E"/>
          <w:sz w:val="22"/>
          <w:szCs w:val="22"/>
        </w:rPr>
        <w:t xml:space="preserve">3.  </w:t>
      </w:r>
      <w:r>
        <w:rPr>
          <w:b/>
          <w:bCs/>
          <w:color w:val="1B2A4A"/>
          <w:sz w:val="22"/>
          <w:szCs w:val="22"/>
        </w:rPr>
        <w:t xml:space="preserve">Open any student — </w:t>
      </w:r>
      <w:r>
        <w:rPr>
          <w:color w:val="222222"/>
          <w:sz w:val="22"/>
          <w:szCs w:val="22"/>
        </w:rPr>
        <w:t xml:space="preserve">Student Records shows a short list of students. Clicking one opens that student’s full dashboard — the exact same view a student sees for themselves — but read-only, so nothing can be accidentally changed.</w:t>
      </w:r>
    </w:p>
    <w:p>
      <w:pPr>
        <w:pStyle w:val="Heading1"/>
        <w:spacing w:after="140" w:before="320"/>
      </w:pPr>
      <w:r>
        <w:t xml:space="preserve">The Four Kinds of Advice the System Gives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1B2A4A" w:val="clear"/>
            <w:tcMar>
              <w:top w:type="dxa" w:w="100"/>
              <w:left w:type="dxa" w:w="120"/>
              <w:bottom w:type="dxa" w:w="100"/>
              <w:right w:type="dxa" w:w="120"/>
            </w:tcMar>
          </w:tcPr>
          <w:p>
            <w:r>
              <w:rPr>
                <w:b/>
                <w:bCs/>
                <w:color w:val="FFFFFF"/>
                <w:sz w:val="20"/>
                <w:szCs w:val="20"/>
              </w:rPr>
              <w:t xml:space="preserve">Category</w:t>
            </w:r>
          </w:p>
        </w:tc>
        <w:tc>
          <w:tcPr>
            <w:tcW w:type="dxa" w:w="6200"/>
            <w:shd w:fill="1B2A4A" w:val="clear"/>
            <w:tcMar>
              <w:top w:type="dxa" w:w="100"/>
              <w:left w:type="dxa" w:w="120"/>
              <w:bottom w:type="dxa" w:w="100"/>
              <w:right w:type="dxa" w:w="120"/>
            </w:tcMar>
          </w:tcPr>
          <w:p>
            <w:r>
              <w:rPr>
                <w:b/>
                <w:bCs/>
                <w:color w:val="FFFFFF"/>
                <w:sz w:val="20"/>
                <w:szCs w:val="20"/>
              </w:rPr>
              <w:t xml:space="preserve">What It Checks</w:t>
            </w:r>
          </w:p>
        </w:tc>
      </w:tr>
      <w:tr>
        <w:tc>
          <w:tcPr>
            <w:tcW w:type="dxa" w:w="3200"/>
            <w:tcMar>
              <w:top w:type="dxa" w:w="90"/>
              <w:left w:type="dxa" w:w="120"/>
              <w:bottom w:type="dxa" w:w="90"/>
              <w:right w:type="dxa" w:w="120"/>
            </w:tcMar>
          </w:tcPr>
          <w:p>
            <w:r>
              <w:rPr>
                <w:color w:val="222222"/>
                <w:sz w:val="20"/>
                <w:szCs w:val="20"/>
              </w:rPr>
              <w:t xml:space="preserve">Academic Standing</w:t>
            </w:r>
          </w:p>
        </w:tc>
        <w:tc>
          <w:tcPr>
            <w:tcW w:type="dxa" w:w="6200"/>
            <w:tcMar>
              <w:top w:type="dxa" w:w="90"/>
              <w:left w:type="dxa" w:w="120"/>
              <w:bottom w:type="dxa" w:w="90"/>
              <w:right w:type="dxa" w:w="120"/>
            </w:tcMar>
          </w:tcPr>
          <w:p>
            <w:r>
              <w:rPr>
                <w:color w:val="222222"/>
                <w:sz w:val="20"/>
                <w:szCs w:val="20"/>
              </w:rPr>
              <w:t xml:space="preserve">Is the student’s CGPA healthy? Have any required courses been failed and need retaking?</w:t>
            </w:r>
          </w:p>
        </w:tc>
      </w:tr>
      <w:tr>
        <w:tc>
          <w:tcPr>
            <w:tcW w:type="dxa" w:w="3200"/>
            <w:tcMar>
              <w:top w:type="dxa" w:w="90"/>
              <w:left w:type="dxa" w:w="120"/>
              <w:bottom w:type="dxa" w:w="90"/>
              <w:right w:type="dxa" w:w="120"/>
            </w:tcMar>
          </w:tcPr>
          <w:p>
            <w:r>
              <w:rPr>
                <w:color w:val="222222"/>
                <w:sz w:val="20"/>
                <w:szCs w:val="20"/>
              </w:rPr>
              <w:t xml:space="preserve">Specialization Guidance</w:t>
            </w:r>
          </w:p>
        </w:tc>
        <w:tc>
          <w:tcPr>
            <w:tcW w:type="dxa" w:w="6200"/>
            <w:tcMar>
              <w:top w:type="dxa" w:w="90"/>
              <w:left w:type="dxa" w:w="120"/>
              <w:bottom w:type="dxa" w:w="90"/>
              <w:right w:type="dxa" w:w="120"/>
            </w:tcMar>
          </w:tcPr>
          <w:p>
            <w:r>
              <w:rPr>
                <w:color w:val="222222"/>
                <w:sz w:val="20"/>
                <w:szCs w:val="20"/>
              </w:rPr>
              <w:t xml:space="preserve">Based on which subjects the student is strongest in, suggests a nursing specialty worth considering (e.g. Midwifery, Mental Health, Community Health).</w:t>
            </w:r>
          </w:p>
        </w:tc>
      </w:tr>
      <w:tr>
        <w:tc>
          <w:tcPr>
            <w:tcW w:type="dxa" w:w="3200"/>
            <w:tcMar>
              <w:top w:type="dxa" w:w="90"/>
              <w:left w:type="dxa" w:w="120"/>
              <w:bottom w:type="dxa" w:w="90"/>
              <w:right w:type="dxa" w:w="120"/>
            </w:tcMar>
          </w:tcPr>
          <w:p>
            <w:r>
              <w:rPr>
                <w:color w:val="222222"/>
                <w:sz w:val="20"/>
                <w:szCs w:val="20"/>
              </w:rPr>
              <w:t xml:space="preserve">Clinical Readiness</w:t>
            </w:r>
          </w:p>
        </w:tc>
        <w:tc>
          <w:tcPr>
            <w:tcW w:type="dxa" w:w="6200"/>
            <w:tcMar>
              <w:top w:type="dxa" w:w="90"/>
              <w:left w:type="dxa" w:w="120"/>
              <w:bottom w:type="dxa" w:w="90"/>
              <w:right w:type="dxa" w:w="120"/>
            </w:tcMar>
          </w:tcPr>
          <w:p>
            <w:r>
              <w:rPr>
                <w:color w:val="222222"/>
                <w:sz w:val="20"/>
                <w:szCs w:val="20"/>
              </w:rPr>
              <w:t xml:space="preserve">Checks whether the student meets the requirements to start clinical placement — CGPA and prerequisite courses.</w:t>
            </w:r>
          </w:p>
        </w:tc>
      </w:tr>
      <w:tr>
        <w:tc>
          <w:tcPr>
            <w:tcW w:type="dxa" w:w="3200"/>
            <w:tcMar>
              <w:top w:type="dxa" w:w="90"/>
              <w:left w:type="dxa" w:w="120"/>
              <w:bottom w:type="dxa" w:w="90"/>
              <w:right w:type="dxa" w:w="120"/>
            </w:tcMar>
          </w:tcPr>
          <w:p>
            <w:r>
              <w:rPr>
                <w:color w:val="222222"/>
                <w:sz w:val="20"/>
                <w:szCs w:val="20"/>
              </w:rPr>
              <w:t xml:space="preserve">Graduation Pathway</w:t>
            </w:r>
          </w:p>
        </w:tc>
        <w:tc>
          <w:tcPr>
            <w:tcW w:type="dxa" w:w="6200"/>
            <w:tcMar>
              <w:top w:type="dxa" w:w="90"/>
              <w:left w:type="dxa" w:w="120"/>
              <w:bottom w:type="dxa" w:w="90"/>
              <w:right w:type="dxa" w:w="120"/>
            </w:tcMar>
          </w:tcPr>
          <w:p>
            <w:r>
              <w:rPr>
                <w:color w:val="222222"/>
                <w:sz w:val="20"/>
                <w:szCs w:val="20"/>
              </w:rPr>
              <w:t xml:space="preserve">Checks whether the student is accumulating enough credit units to graduate on schedule.</w:t>
            </w:r>
          </w:p>
        </w:tc>
      </w:tr>
    </w:tbl>
    <w:p>
      <w:pPr>
        <w:pStyle w:val="Heading1"/>
        <w:spacing w:after="140" w:before="320"/>
      </w:pPr>
      <w:r>
        <w:t xml:space="preserve">What "Certainty Factor" Means</w:t>
      </w:r>
    </w:p>
    <w:p>
      <w:pPr>
        <w:spacing w:after="140" w:line="300"/>
      </w:pPr>
      <w:r>
        <w:rPr>
          <w:color w:val="222222"/>
          <w:sz w:val="22"/>
          <w:szCs w:val="22"/>
        </w:rPr>
        <w:t xml:space="preserve">Every piece of advice comes with a percentage — for example, "91% certainty." This shows how strongly the student’s data supports that specific piece of advice, not a guarantee of what will happen. The percentage is never shown as 100%, on purpose: a system reasoning from one academic record shouldn’t claim total certainty about anything.</w:t>
      </w:r>
    </w:p>
    <w:p>
      <w:pPr>
        <w:pStyle w:val="Heading1"/>
        <w:spacing w:after="140" w:before="320"/>
      </w:pPr>
      <w:r>
        <w:t xml:space="preserve">Why It’s Called an "Expert System"</w:t>
      </w:r>
    </w:p>
    <w:p>
      <w:pPr>
        <w:spacing w:after="140" w:line="300"/>
      </w:pPr>
      <w:r>
        <w:rPr>
          <w:color w:val="222222"/>
          <w:sz w:val="22"/>
          <w:szCs w:val="22"/>
        </w:rPr>
        <w:t xml:space="preserve">The system doesn’t use artificial intelligence to generate its answers, and it doesn’t guess. It works from a fixed, written set of rules — called a knowledge base — the same underlying idea used in early rule-based medical software. Every recommendation the system gives can be traced back to one exact rule, which is what makes it an "expert system" rather than a simple dashboard.</w:t>
      </w:r>
    </w:p>
    <w:p>
      <w:pPr>
        <w:pStyle w:val="Heading1"/>
        <w:spacing w:after="140" w:before="320"/>
      </w:pPr>
      <w:r>
        <w:t xml:space="preserve">A Few Practical Notes</w:t>
      </w:r>
    </w:p>
    <w:p>
      <w:pPr>
        <w:pBdr>
          <w:left w:val="single" w:color="B08A3E" w:sz="12" w:space="8"/>
        </w:pBdr>
        <w:spacing w:after="200" w:before="100" w:line="280"/>
        <w:ind w:left="200"/>
      </w:pPr>
      <w:r>
        <w:rPr>
          <w:i/>
          <w:iCs/>
          <w:color w:val="5C6773"/>
          <w:sz w:val="21"/>
          <w:szCs w:val="21"/>
        </w:rPr>
        <w:t xml:space="preserve">There is no real backend or database behind this — everything runs in the browser. This keeps the system simple and fast to deploy, but it means data isn’t saved between visits unless printed or exported.</w:t>
      </w:r>
    </w:p>
    <w:p>
      <w:pPr>
        <w:pBdr>
          <w:left w:val="single" w:color="B08A3E" w:sz="12" w:space="8"/>
        </w:pBdr>
        <w:spacing w:after="200" w:before="100" w:line="280"/>
        <w:ind w:left="200"/>
      </w:pPr>
      <w:r>
        <w:rPr>
          <w:i/>
          <w:iCs/>
          <w:color w:val="5C6773"/>
          <w:sz w:val="21"/>
          <w:szCs w:val="21"/>
        </w:rPr>
        <w:t xml:space="preserve">The admin password and the students shown under Student Records are demo data built to show the system working across different situations — not real student records.</w:t>
      </w:r>
    </w:p>
    <w:p>
      <w:pPr>
        <w:pBdr>
          <w:left w:val="single" w:color="B08A3E" w:sz="12" w:space="8"/>
        </w:pBdr>
        <w:spacing w:after="200" w:before="100" w:line="280"/>
        <w:ind w:left="200"/>
      </w:pPr>
      <w:r>
        <w:rPr>
          <w:i/>
          <w:iCs/>
          <w:color w:val="5C6773"/>
          <w:sz w:val="21"/>
          <w:szCs w:val="21"/>
        </w:rPr>
        <w:t xml:space="preserve">The system works on both computers and phones — the layout adjusts automatically to the screen size.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2026-07-29T02:50:00.392Z</dcterms:created>
  <dcterms:modified xsi:type="dcterms:W3CDTF">2026-07-29T02:50:00.406Z</dcterms:modified>
</cp:coreProperties>
</file>

<file path=docProps/custom.xml><?xml version="1.0" encoding="utf-8"?>
<Properties xmlns="http://schemas.openxmlformats.org/officeDocument/2006/custom-properties" xmlns:vt="http://schemas.openxmlformats.org/officeDocument/2006/docPropsVTypes"/>
</file>