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INOVA MARMORARIA</w:t>
      </w:r>
    </w:p>
    <w:p>
      <w:pPr>
        <w:pStyle w:val="Title"/>
      </w:pPr>
      <w:r>
        <w:t>SDD do sistema de orçamento e desenho técnico</w:t>
      </w:r>
    </w:p>
    <w:p>
      <w:pPr>
        <w:pStyle w:val="Subtitle"/>
      </w:pPr>
      <w:r>
        <w:t>Proposta de evolução com orçamento independente e editor 2D e 3D</w:t>
      </w:r>
    </w:p>
    <w:p>
      <w:r>
        <w:rPr>
          <w:b w:val="0"/>
        </w:rPr>
        <w:t>Versão 2.0 • 19 de setembro de 2026</w:t>
      </w:r>
    </w:p>
    <w:p>
      <w:r>
        <w:rPr>
          <w:b w:val="0"/>
        </w:rPr>
        <w:t>Responsável pela definição do produto: Daniel Valdivino Silva</w:t>
      </w:r>
    </w:p>
    <w:p>
      <w:r>
        <w:rPr>
          <w:b w:val="0"/>
        </w:rPr>
        <w:t>Status: proposta técnica para validação e implementação</w:t>
      </w:r>
    </w:p>
    <w:p>
      <w:pPr>
        <w:pStyle w:val="Heading2"/>
      </w:pPr>
      <w:r>
        <w:t>Decisão central</w:t>
      </w:r>
    </w:p>
    <w:p>
      <w:r>
        <w:rPr>
          <w:b w:val="0"/>
        </w:rPr>
        <w:t>O sistema deverá reunir orçamento comercial e projeto técnico no mesmo atendimento, com dados e operações independentes. Toda alteração no desenho deverá preservar os preços, descontos e totais do orçamento. As vistas 2D e 3D deverão representar a mesma geometria e as mesmas medidas.</w:t>
      </w:r>
    </w:p>
    <w:p>
      <w:pPr>
        <w:pStyle w:val="Heading2"/>
      </w:pPr>
      <w:r>
        <w:t>Objetivo do documento</w:t>
      </w:r>
    </w:p>
    <w:p>
      <w:r>
        <w:rPr>
          <w:b w:val="0"/>
        </w:rPr>
        <w:t>Especificar o produto desejado, seus fluxos, limites, arquitetura, modelo de dados, regras geométricas, contratos de API, entregas e critérios de aceite. Este SDD orienta a construção de um editor especializado em marmoraria capaz de representar desde peças simples até conjuntos com curvas, cubas, laterais e acabamentos.</w:t>
      </w:r>
    </w:p>
    <w:p>
      <w:pPr>
        <w:pStyle w:val="Heading2"/>
      </w:pPr>
      <w:r>
        <w:t>Resultado esperado</w:t>
      </w:r>
    </w:p>
    <w:p>
      <w:r>
        <w:rPr>
          <w:b w:val="0"/>
        </w:rPr>
        <w:t>O atendente prepara o orçamento com rapidez. O projetista elabora a solução com precisão e apresenta o resultado ao cliente. A produção recebe uma revisão técnica identificada, conferida e liberada, sem depender de cálculos financeiros dentro do desenho.</w:t>
      </w:r>
    </w:p>
    <w:p>
      <w:pPr>
        <w:pStyle w:val="Heading2"/>
      </w:pPr>
      <w:r>
        <w:t>Natureza desta versão</w:t>
      </w:r>
    </w:p>
    <w:p>
      <w:r>
        <w:rPr>
          <w:b w:val="0"/>
        </w:rPr>
        <w:t>As funcionalidades descritas são propostas de implementação. A versão 2.0 amplia o escopo do SDD 1.1 e incorpora as ideias de separação comercial e técnica, sem representar uma declaração de funcionalidades já entregues.</w:t>
      </w:r>
    </w:p>
    <w:p>
      <w:pPr>
        <w:pStyle w:val="Heading1"/>
        <w:pageBreakBefore/>
      </w:pPr>
      <w:r>
        <w:t>Guia de leitura</w:t>
      </w:r>
    </w:p>
    <w:p>
      <w:r>
        <w:rPr>
          <w:b w:val="0"/>
        </w:rPr>
        <w:t>O documento organiza as decisões do produto e depois detalha sua implementação. Os identificadores de requisitos e testes permitem relacionar uma entrega ao comportamento que deverá ser validado.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8712"/>
      </w:tblGrid>
      <w:tr>
        <w:trPr>
          <w:tblHeader/>
          <w:cantSplit/>
        </w:trPr>
        <w:tc>
          <w:tcPr>
            <w:tcW w:type="dxa" w:w="1224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Seção</w:t>
            </w:r>
          </w:p>
        </w:tc>
        <w:tc>
          <w:tcPr>
            <w:tcW w:type="dxa" w:w="8712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Conteúdo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1 a 3</w:t>
            </w:r>
          </w:p>
        </w:tc>
        <w:tc>
          <w:tcPr>
            <w:tcW w:type="dxa" w:w="87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Visão do produto, escopo, usuários e ciclo de trabalho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4 a 7</w:t>
            </w:r>
          </w:p>
        </w:tc>
        <w:tc>
          <w:tcPr>
            <w:tcW w:type="dxa" w:w="8712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Orçamento independente, editor 2D, cubas, peças e apresentação 3D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8 a 10</w:t>
            </w:r>
          </w:p>
        </w:tc>
        <w:tc>
          <w:tcPr>
            <w:tcW w:type="dxa" w:w="87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Geometria, revisões e arquitetura de software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11 a 13</w:t>
            </w:r>
          </w:p>
        </w:tc>
        <w:tc>
          <w:tcPr>
            <w:tcW w:type="dxa" w:w="8712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Modelo de dados, API, persistência e recuperação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14 a 16</w:t>
            </w:r>
          </w:p>
        </w:tc>
        <w:tc>
          <w:tcPr>
            <w:tcW w:type="dxa" w:w="87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Documentos, segurança, desempenho e critérios de aceite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17 a 18</w:t>
            </w:r>
          </w:p>
        </w:tc>
        <w:tc>
          <w:tcPr>
            <w:tcW w:type="dxa" w:w="8712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Plano de implementação, riscos e decisões de arquitetura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Como interpretar as prioridades</w:t>
      </w:r>
    </w:p>
    <w:p>
      <w:r>
        <w:rPr>
          <w:b w:val="0"/>
        </w:rPr>
        <w:t>P0 identifica a primeira entrega utilizável: separação financeira, edição 2D precisa, salvamento e PDF técnico. P1 completa o editor visual proposto: curvas, conjuntos avançados, 3D e intercâmbio CAD delimitado. P2 reúne ampliações opcionais que não condicionam a entrega principal.</w:t>
      </w:r>
    </w:p>
    <w:p>
      <w:r>
        <w:rPr>
          <w:b w:val="0"/>
        </w:rPr>
        <w:t>P0 não encerra a proposta: o objetivo solicitado inclui as capacidades P1. A divisão organiza a implementação e evita liberar um editor visualmente avançado com medidas, persistência ou independência financeira incorretas.</w:t>
      </w:r>
    </w:p>
    <w:p>
      <w:pPr>
        <w:pStyle w:val="Heading2"/>
      </w:pPr>
      <w:r>
        <w:t>Convenções</w:t>
      </w:r>
    </w:p>
    <w:p>
      <w:pPr>
        <w:pStyle w:val="ListBullet"/>
        <w:spacing w:after="80"/>
      </w:pPr>
      <w:r>
        <w:t>DEVE indica requisito obrigatório da etapa correspondente. PODE indica opção prevista e controlada.</w:t>
      </w:r>
    </w:p>
    <w:p>
      <w:pPr>
        <w:pStyle w:val="ListBullet"/>
        <w:spacing w:after="80"/>
      </w:pPr>
      <w:r>
        <w:t>Medida é dimensão geométrica. Valor monetário é preço, desconto ou total em reais. Os termos não devem ser usados como sinônimos na interface.</w:t>
      </w:r>
    </w:p>
    <w:p>
      <w:pPr>
        <w:pStyle w:val="ListBullet"/>
        <w:spacing w:after="80"/>
      </w:pPr>
      <w:r>
        <w:t>Projeto identifica um conjunto de trabalho, como cozinha ou banheiro. Atendimento reúne o cliente e seus projetos.</w:t>
      </w:r>
    </w:p>
    <w:p>
      <w:pPr>
        <w:pStyle w:val="ListBullet"/>
        <w:spacing w:after="80"/>
      </w:pPr>
      <w:r>
        <w:t>Revisão identifica uma versão técnica congelada. Rascunho é o documento ainda editável.</w:t>
      </w:r>
    </w:p>
    <w:p>
      <w:pPr>
        <w:pStyle w:val="ListBullet"/>
        <w:spacing w:after="80"/>
      </w:pPr>
      <w:r>
        <w:t>Metas de desempenho e limites técnicos deste documento são propostas verificáveis, a validar no equipamento de referência.</w:t>
      </w:r>
    </w:p>
    <w:p>
      <w:pPr>
        <w:pStyle w:val="Heading2"/>
      </w:pPr>
      <w:r>
        <w:t>Referências de produto</w:t>
      </w:r>
    </w:p>
    <w:p>
      <w:r>
        <w:rPr>
          <w:b w:val="0"/>
        </w:rPr>
        <w:t>SDD_Orcamentos_Marmoraria_Inova_v1.1.docx, versão de 03/09/2026; proposta de separação contida em Markdown(1).md colado; diretriz de produto desta versão: editor elaborado, dimensional e visual, com recursos CAD e vistas 2D e 3D.</w:t>
      </w:r>
    </w:p>
    <w:p>
      <w:pPr>
        <w:pStyle w:val="Heading1"/>
        <w:pageBreakBefore/>
      </w:pPr>
      <w:r>
        <w:t>1 Visão do produto e limites de responsabilidade</w:t>
      </w:r>
    </w:p>
    <w:p>
      <w:r>
        <w:rPr>
          <w:b w:val="0"/>
        </w:rPr>
        <w:t>A Inova precisa atender duas tarefas com ritmos diferentes. O orçamento deve permitir informar medidas e serviços rapidamente. O desenho deve permitir experimentar soluções, detalhar a fabricação e explicar o projeto ao cliente sem criar cobranças a cada ação.</w:t>
      </w:r>
    </w:p>
    <w:p>
      <w:pPr>
        <w:pStyle w:val="Heading2"/>
      </w:pPr>
      <w:r>
        <w:t>Estrutura funcional proposta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tblHeader/>
          <w:cantSplit/>
        </w:trPr>
        <w:tc>
          <w:tcPr>
            <w:tcW w:type="dxa" w:w="1728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8208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Dados e ações sob sua responsabilidade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Atendimento</w:t>
            </w:r>
          </w:p>
        </w:tc>
        <w:tc>
          <w:tcPr>
            <w:tcW w:type="dxa" w:w="82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Cliente, projetos, anexos, vínculos comerciais e técnicos.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Comercial</w:t>
            </w:r>
          </w:p>
        </w:tc>
        <w:tc>
          <w:tcPr>
            <w:tcW w:type="dxa" w:w="8208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Itens, medidas comerciais, materiais, serviços, descontos, snapshots e PDF de orçamento.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Técnica</w:t>
            </w:r>
          </w:p>
        </w:tc>
        <w:tc>
          <w:tcPr>
            <w:tcW w:type="dxa" w:w="82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Peças, contornos, recortes, cubas, cotas, encaixes, texturas e revisões.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Produção</w:t>
            </w:r>
          </w:p>
        </w:tc>
        <w:tc>
          <w:tcPr>
            <w:tcW w:type="dxa" w:w="8208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Referência à revisão liberada, conferência, prazo e acompanhamento operacional.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Invariantes obrigatórias</w:t>
      </w:r>
    </w:p>
    <w:p>
      <w:pPr>
        <w:pStyle w:val="ListBullet"/>
        <w:spacing w:after="80"/>
      </w:pPr>
      <w:r>
        <w:t>INV-01 — Criar, editar, duplicar, salvar ou excluir elementos técnicos nunca altera itens, serviços, descontos ou totais comerciais.</w:t>
      </w:r>
    </w:p>
    <w:p>
      <w:pPr>
        <w:pStyle w:val="ListBullet"/>
        <w:spacing w:after="80"/>
      </w:pPr>
      <w:r>
        <w:t>INV-02 — O editor não armazena preços, subtotais ou fórmulas de cobrança em seu documento técnico.</w:t>
      </w:r>
    </w:p>
    <w:p>
      <w:pPr>
        <w:pStyle w:val="ListBullet"/>
        <w:spacing w:after="80"/>
      </w:pPr>
      <w:r>
        <w:t>INV-03 — As representações 2D, 3D e as cotas são derivadas do mesmo documento geométrico.</w:t>
      </w:r>
    </w:p>
    <w:p>
      <w:pPr>
        <w:pStyle w:val="ListBullet"/>
        <w:spacing w:after="80"/>
      </w:pPr>
      <w:r>
        <w:t>INV-04 — Revisões aprovadas são imutáveis. Uma alteração gera novo rascunho e exige nova liberação técnica.</w:t>
      </w:r>
    </w:p>
    <w:p>
      <w:pPr>
        <w:pStyle w:val="ListBullet"/>
        <w:spacing w:after="80"/>
      </w:pPr>
      <w:r>
        <w:t>INV-05 — Toda operação respeita o projeto e o cliente autorizados, inclusive pela API.</w:t>
      </w:r>
    </w:p>
    <w:p>
      <w:pPr>
        <w:pStyle w:val="ListBullet"/>
        <w:spacing w:after="80"/>
      </w:pPr>
      <w:r>
        <w:t>INV-06 — O desenho mantém medidas reais independentemente de zoom, resolução e tamanho da tela.</w:t>
      </w:r>
    </w:p>
    <w:p>
      <w:pPr>
        <w:pStyle w:val="Heading2"/>
      </w:pPr>
      <w:r>
        <w:t>O que pode ser compartilhado</w:t>
      </w:r>
    </w:p>
    <w:p>
      <w:r>
        <w:rPr>
          <w:b w:val="0"/>
        </w:rPr>
        <w:t>Identificadores do atendimento e do projeto, cadastro do cliente e referências visuais de materiais podem ser compartilhados. O editor recebe uma projeção do catálogo contendo apenas nome, imagem, textura e características visuais. O catálogo de preços continua restrito ao domínio comercial.</w:t>
      </w:r>
    </w:p>
    <w:p>
      <w:r>
        <w:rPr>
          <w:b w:val="0"/>
        </w:rPr>
        <w:t>Os módulos podem usar o mesmo backend e banco, separados por responsabilidades e contratos. Não há necessidade de criar microserviços para obter essa independência.</w:t>
      </w:r>
    </w:p>
    <w:p>
      <w:pPr>
        <w:pStyle w:val="Heading1"/>
        <w:pageBreakBefore/>
      </w:pPr>
      <w:r>
        <w:t>2 Escopo e prioridades da evolução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000"/>
      </w:tblGrid>
      <w:tr>
        <w:trPr>
          <w:tblHeader/>
          <w:cantSplit/>
        </w:trPr>
        <w:tc>
          <w:tcPr>
            <w:tcW w:type="dxa" w:w="936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9000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Capacidades obrigatórias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P0</w:t>
            </w:r>
          </w:p>
        </w:tc>
        <w:tc>
          <w:tcPr>
            <w:tcW w:type="dxa" w:w="90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Orçamento preservado; projetos independentes; editor 2D; peças retangulares e em L por segmentos; cubas e recortes parametrizados; cotas; undo e redo; salvamento; revisões; PDF técnico.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P1</w:t>
            </w:r>
          </w:p>
        </w:tc>
        <w:tc>
          <w:tcPr>
            <w:tcW w:type="dxa" w:w="9000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Arcos e contornos curvos; conjuntos com peças verticais; 3D coerente com 2D; materiais visuais; biblioteca de componentes; exportação DXF delimitada; vistas e apresentação ao cliente.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P2</w:t>
            </w:r>
          </w:p>
        </w:tc>
        <w:tc>
          <w:tcPr>
            <w:tcW w:type="dxa" w:w="90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Importação CAD ampliada; referência por foto com calibração; comparação visual entre revisões; colaboração simultânea; compartilhamento externo; modelos avançados de ambiente.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Fora do compromisso desta versão</w:t>
      </w:r>
    </w:p>
    <w:p>
      <w:r>
        <w:rPr>
          <w:b w:val="0"/>
        </w:rPr>
        <w:t>Não fazem parte da entrega principal: CAD de propósito geral, compatibilidade irrestrita com DWG, usinagem CNC, geração de trajetórias de ferramenta, plano de corte e otimização de chapas, cálculo estrutural, renderização fotorealista e reconstrução automática precisa a partir de fotos. Esses recursos exigem especificações e validações próprias.</w:t>
      </w:r>
    </w:p>
    <w:p>
      <w:pPr>
        <w:pStyle w:val="Heading2"/>
      </w:pPr>
      <w:r>
        <w:t>Preservação do fluxo comercial</w:t>
      </w:r>
    </w:p>
    <w:p>
      <w:r>
        <w:rPr>
          <w:b w:val="0"/>
        </w:rPr>
        <w:t>O orçamento rápido e seu PDF comercial devem conservar o comportamento aprovado pela Inova. Antes de alterar a aplicação, a equipe deve inventariar os fluxos e registrar exemplos de cálculo, serviços, descontos, múltiplos projetos e exportação. Esses exemplos formam a linha de base dos testes de regressão.</w:t>
      </w:r>
    </w:p>
    <w:p>
      <w:pPr>
        <w:pStyle w:val="Heading2"/>
      </w:pPr>
      <w:r>
        <w:t>Critério de completude</w:t>
      </w:r>
    </w:p>
    <w:p>
      <w:r>
        <w:rPr>
          <w:b w:val="0"/>
        </w:rPr>
        <w:t>Um desenho salvo deve poder ser reaberto e editado com suas medidas, relações e componentes. Uma imagem estática não substitui o documento técnico. Uma vista 3D meramente ilustrativa não atende ao requisito de coerência dimensional.</w:t>
      </w:r>
    </w:p>
    <w:p>
      <w:pPr>
        <w:pStyle w:val="Heading2"/>
      </w:pPr>
      <w:r>
        <w:t>Mudança em relação ao SDD 1 ponto 1</w:t>
      </w:r>
    </w:p>
    <w:p>
      <w:r>
        <w:rPr>
          <w:b w:val="0"/>
        </w:rPr>
        <w:t>A prévia aproximada de materiais evolui para um domínio técnico próprio. O 3D passa a integrar a evolução planejada P1. As regras de cálculo comercial permanecem no módulo de orçamento. O desenho passa a ter persistência, permissões, revisão e exportação próprias.</w:t>
      </w:r>
    </w:p>
    <w:p>
      <w:pPr>
        <w:pStyle w:val="Heading1"/>
        <w:pageBreakBefore/>
      </w:pPr>
      <w:r>
        <w:t>3 Usuários e ciclo de trabalho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632"/>
      </w:tblGrid>
      <w:tr>
        <w:trPr>
          <w:tblHeader/>
          <w:cantSplit/>
        </w:trPr>
        <w:tc>
          <w:tcPr>
            <w:tcW w:type="dxa" w:w="2304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Perfil</w:t>
            </w:r>
          </w:p>
        </w:tc>
        <w:tc>
          <w:tcPr>
            <w:tcW w:type="dxa" w:w="7632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Acesso proposto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Super Admin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Configura catálogo, preços, permissões e políticas; acesso integral autorizado.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Atendente</w:t>
            </w:r>
          </w:p>
        </w:tc>
        <w:tc>
          <w:tcPr>
            <w:tcW w:type="dxa" w:w="7632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Cadastra cliente, cria e revisa orçamento; visualiza desenhos vinculados.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Projetista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Edita desenhos, cria revisões e documentos técnicos; sem preços por padrão.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Responsável técnico interno</w:t>
            </w:r>
          </w:p>
        </w:tc>
        <w:tc>
          <w:tcPr>
            <w:tcW w:type="dxa" w:w="7632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Confere e libera revisão para produção; permissão funcional, sem presumir habilitação profissional.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Produção e montagem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Consulta revisão liberada e registra andamento; não modifica a geometria aprovada.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Fluxo de atendimento</w:t>
      </w:r>
    </w:p>
    <w:p>
      <w:r>
        <w:rPr>
          <w:b w:val="0"/>
        </w:rPr>
        <w:t>O usuário seleciona ou cadastra o cliente, abre um atendimento e cria um ou mais projetos. Cada projeto pode começar pelo orçamento ou pelo desenho. A existência de um não é condição para salvar o outro. Um orçamento pode reunir itens de vários projetos do mesmo atendimento.</w:t>
      </w:r>
    </w:p>
    <w:p>
      <w:pPr>
        <w:pStyle w:val="Heading2"/>
      </w:pPr>
      <w:r>
        <w:t>Fluxo técnico</w:t>
      </w:r>
    </w:p>
    <w:p>
      <w:r>
        <w:rPr>
          <w:b w:val="0"/>
        </w:rPr>
        <w:t>O projetista cria o desenho, define as peças e medidas, posiciona cubas e recortes, aplica detalhes e confere as vistas. O sistema valida a geometria. O projetista salva uma revisão e envia para conferência. O responsável registra a aprovação e libera essa revisão para produção quando as condições comerciais aplicáveis também estiverem atendidas.</w:t>
      </w:r>
    </w:p>
    <w:p>
      <w:pPr>
        <w:pStyle w:val="Heading2"/>
      </w:pPr>
      <w:r>
        <w:t>Mudanças após aprovação</w:t>
      </w:r>
    </w:p>
    <w:p>
      <w:r>
        <w:rPr>
          <w:b w:val="0"/>
        </w:rPr>
        <w:t>Ao editar um projeto aprovado, o sistema cria um rascunho derivado da revisão e sinaliza a pendência de nova conferência. A revisão anterior continua acessível. A produção não troca automaticamente para a nova versão. O orçamento permanece com seus valores anteriores até uma revisão comercial explícita.</w:t>
      </w:r>
    </w:p>
    <w:p>
      <w:pPr>
        <w:pStyle w:val="Heading2"/>
      </w:pPr>
      <w:r>
        <w:t>Navegação proposta</w:t>
      </w:r>
    </w:p>
    <w:p>
      <w:r>
        <w:rPr>
          <w:b w:val="0"/>
        </w:rPr>
        <w:t>Dentro do atendimento: abas por projeto e acesso às áreas Orçamento, Desenho, Arquivos e Produção. O editor usa área central ampla, ferramentas compactas e painel de propriedades do elemento selecionado. A identidade visual existente deve orientar cores, botões e navegação. Alterações no editor não justificam redesenhar as demais telas.</w:t>
      </w:r>
    </w:p>
    <w:p>
      <w:pPr>
        <w:pStyle w:val="Heading1"/>
        <w:pageBreakBefore/>
      </w:pPr>
      <w:r>
        <w:t>4 Requisitos de independência comercial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8640"/>
      </w:tblGrid>
      <w:tr>
        <w:trPr>
          <w:tblHeader/>
          <w:cantSplit/>
        </w:trPr>
        <w:tc>
          <w:tcPr>
            <w:tcW w:type="dxa" w:w="1296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8640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Requisito verificável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COM-01</w:t>
            </w:r>
          </w:p>
        </w:tc>
        <w:tc>
          <w:tcPr>
            <w:tcW w:type="dxa" w:w="86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Permitir criar e finalizar orçamento sem desenho, mantendo os cálculos e o PDF comercial.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COM-02</w:t>
            </w:r>
          </w:p>
        </w:tc>
        <w:tc>
          <w:tcPr>
            <w:tcW w:type="dxa" w:w="8640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Permitir criar, salvar e exportar desenho sem orçamento e sem preço cadastrado.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COM-03</w:t>
            </w:r>
          </w:p>
        </w:tc>
        <w:tc>
          <w:tcPr>
            <w:tcW w:type="dxa" w:w="86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Não chamar endpoints de cálculo comercial a partir de comandos do editor.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COM-04</w:t>
            </w:r>
          </w:p>
        </w:tc>
        <w:tc>
          <w:tcPr>
            <w:tcW w:type="dxa" w:w="8640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Não adicionar serviços comerciais ao inserir cuba, recorte, saia, rodabanca ou 45° no desenho.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COM-05</w:t>
            </w:r>
          </w:p>
        </w:tc>
        <w:tc>
          <w:tcPr>
            <w:tcW w:type="dxa" w:w="86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Não alterar medidas técnicas quando houver edição de item ou serviço comercial.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COM-06</w:t>
            </w:r>
          </w:p>
        </w:tc>
        <w:tc>
          <w:tcPr>
            <w:tcW w:type="dxa" w:w="8640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Exibir apenas dimensões, ângulos, áreas técnicas e distâncias no editor; nenhuma moeda ou subtotal.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COM-07</w:t>
            </w:r>
          </w:p>
        </w:tc>
        <w:tc>
          <w:tcPr>
            <w:tcW w:type="dxa" w:w="86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Manter separadas as definições de acabamento geométrico e serviço faturável.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COM-08</w:t>
            </w:r>
          </w:p>
        </w:tc>
        <w:tc>
          <w:tcPr>
            <w:tcW w:type="dxa" w:w="8640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Permitir vincular revisões técnicas a uma revisão comercial, sem copiar ou recalcular preços.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Vínculo sem sincronização automática</w:t>
      </w:r>
    </w:p>
    <w:p>
      <w:r>
        <w:rPr>
          <w:b w:val="0"/>
        </w:rPr>
        <w:t>A relação informa que determinado desenho pertence a um projeto atendido pelo orçamento. Não estabelece igualdade entre uma peça desenhada e uma linha de cobrança. O mesmo item comercial pode representar várias peças, e um conjunto técnico pode exigir diversos serviços comerciais.</w:t>
      </w:r>
    </w:p>
    <w:p>
      <w:r>
        <w:rPr>
          <w:b w:val="0"/>
        </w:rPr>
        <w:t>P0 e P1 não incluem geração de orçamento a partir da geometria. Uma eventual função futura de transferência de medidas deverá ser uma ação explícita, com prévia e confirmação, especificada separadamente. Não deverá criar dependência automática entre edição técnica e preço.</w:t>
      </w:r>
    </w:p>
    <w:p>
      <w:pPr>
        <w:pStyle w:val="Heading2"/>
      </w:pPr>
      <w:r>
        <w:t>Detecção de divergência</w:t>
      </w:r>
    </w:p>
    <w:p>
      <w:r>
        <w:rPr>
          <w:b w:val="0"/>
        </w:rPr>
        <w:t>Ao haver nova revisão técnica depois do vínculo comercial, o projeto indica “Desenho alterado — conferir orçamento”. O aviso compara identificadores de revisão, sem inferir aumento de preço. O atendente pode registrar “Conferido sem alteração comercial” ou criar uma revisão do orçamento, com autoria e data.</w:t>
      </w:r>
    </w:p>
    <w:p>
      <w:pPr>
        <w:pStyle w:val="Heading2"/>
      </w:pPr>
      <w:r>
        <w:t>Verificação de fronteira</w:t>
      </w:r>
    </w:p>
    <w:p>
      <w:r>
        <w:rPr>
          <w:b w:val="0"/>
        </w:rPr>
        <w:t>Testes de arquitetura devem impedir imports de pricing e calculation comercial no domínio design. Testes de integração devem comparar o orçamento antes e depois de uma sequência completa de operações de desenho, exigindo igualdade de itens, snapshots, descontos e totais.</w:t>
      </w:r>
    </w:p>
    <w:p>
      <w:pPr>
        <w:pStyle w:val="Heading1"/>
        <w:pageBreakBefore/>
      </w:pPr>
      <w:r>
        <w:t>5 Editor técnico em duas dimensões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8064"/>
        <w:gridCol w:w="792"/>
      </w:tblGrid>
      <w:tr>
        <w:trPr>
          <w:tblHeader/>
          <w:cantSplit/>
        </w:trPr>
        <w:tc>
          <w:tcPr>
            <w:tcW w:type="dxa" w:w="1080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8064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Capacidade</w:t>
            </w:r>
          </w:p>
        </w:tc>
        <w:tc>
          <w:tcPr>
            <w:tcW w:type="dxa" w:w="792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Etapa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ED-01</w:t>
            </w:r>
          </w:p>
        </w:tc>
        <w:tc>
          <w:tcPr>
            <w:tcW w:type="dxa" w:w="80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Criar peças por medidas e por contorno fechado, com identificadores estáveis.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ED-02</w:t>
            </w:r>
          </w:p>
        </w:tc>
        <w:tc>
          <w:tcPr>
            <w:tcW w:type="dxa" w:w="806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Selecionar, mover, girar, duplicar, excluir, agrupar e bloquear elementos.</w:t>
            </w:r>
          </w:p>
        </w:tc>
        <w:tc>
          <w:tcPr>
            <w:tcW w:type="dxa" w:w="792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ED-03</w:t>
            </w:r>
          </w:p>
        </w:tc>
        <w:tc>
          <w:tcPr>
            <w:tcW w:type="dxa" w:w="80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Aplicar zoom, pan, grade e encaixe em vértices, bordas, centros e eixos.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ED-04</w:t>
            </w:r>
          </w:p>
        </w:tc>
        <w:tc>
          <w:tcPr>
            <w:tcW w:type="dxa" w:w="806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Editar dimensões e posição pelo painel numérico, sem depender do mouse.</w:t>
            </w:r>
          </w:p>
        </w:tc>
        <w:tc>
          <w:tcPr>
            <w:tcW w:type="dxa" w:w="792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ED-05</w:t>
            </w:r>
          </w:p>
        </w:tc>
        <w:tc>
          <w:tcPr>
            <w:tcW w:type="dxa" w:w="80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Mostrar cotas associadas à geometria e anotações independentes.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ED-06</w:t>
            </w:r>
          </w:p>
        </w:tc>
        <w:tc>
          <w:tcPr>
            <w:tcW w:type="dxa" w:w="806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Organizar camadas de peças, recortes, cotas, referências e anotações.</w:t>
            </w:r>
          </w:p>
        </w:tc>
        <w:tc>
          <w:tcPr>
            <w:tcW w:type="dxa" w:w="792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ED-07</w:t>
            </w:r>
          </w:p>
        </w:tc>
        <w:tc>
          <w:tcPr>
            <w:tcW w:type="dxa" w:w="80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Desfazer e refazer comandos, preservando grupos e relações.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ED-08</w:t>
            </w:r>
          </w:p>
        </w:tc>
        <w:tc>
          <w:tcPr>
            <w:tcW w:type="dxa" w:w="806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Criar arcos, cantos arredondados e contornos curvos parametrizados.</w:t>
            </w:r>
          </w:p>
        </w:tc>
        <w:tc>
          <w:tcPr>
            <w:tcW w:type="dxa" w:w="792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P1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ED-09</w:t>
            </w:r>
          </w:p>
        </w:tc>
        <w:tc>
          <w:tcPr>
            <w:tcW w:type="dxa" w:w="80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Montar vários conjuntos no mesmo desenho e navegar por seleção.</w:t>
            </w:r>
          </w:p>
        </w:tc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P1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Interação e precisão</w:t>
      </w:r>
    </w:p>
    <w:p>
      <w:r>
        <w:rPr>
          <w:b w:val="0"/>
        </w:rPr>
        <w:t>Arrastar oferece prévia visual; confirmar aplica uma operação atômica. O painel permite selecionar a unidade de entrada, aceita vírgula decimal em PT-BR e mostra o valor normalizado. Escape cancela a operação em curso. Excluir uma peça com elementos dependentes deve informar quais serão removidos.</w:t>
      </w:r>
    </w:p>
    <w:p>
      <w:r>
        <w:rPr>
          <w:b w:val="0"/>
        </w:rPr>
        <w:t>As cotas acompanham seus pontos de referência. Alterar o texto de uma cota não altera silenciosamente a geometria: cotas associativas são somente leitura, e mudanças dimensionais são feitas nos controles da peça. Anotações livres ficam visualmente distintas das cotas.</w:t>
      </w:r>
    </w:p>
    <w:p>
      <w:pPr>
        <w:pStyle w:val="Heading2"/>
      </w:pPr>
      <w:r>
        <w:t>Projetos pequenos e grandes</w:t>
      </w:r>
    </w:p>
    <w:p>
      <w:r>
        <w:rPr>
          <w:b w:val="0"/>
        </w:rPr>
        <w:t>O tamanho físico não limita o enquadramento. A área de trabalho permite enquadrar o projeto inteiro, a seleção ou uma região. Camadas ocultas e objetos fora da tela não precisam ser redesenhados continuamente. Deve ser possível localizar uma peça pelo nome e centralizá-la.</w:t>
      </w:r>
    </w:p>
    <w:p>
      <w:pPr>
        <w:pStyle w:val="Heading2"/>
      </w:pPr>
      <w:r>
        <w:t>Usabilidade proposta</w:t>
      </w:r>
    </w:p>
    <w:p>
      <w:r>
        <w:rPr>
          <w:b w:val="0"/>
        </w:rPr>
        <w:t>Desktop e tablet são os ambientes prioritários para edição avançada. Celular oferece consulta, apresentação e edição numérica básica, com ferramentas adaptadas. Essa diferenciação não altera a prioridade móvel do orçamento rápido.</w:t>
      </w:r>
    </w:p>
    <w:p>
      <w:pPr>
        <w:pStyle w:val="Heading1"/>
        <w:pageBreakBefore/>
      </w:pPr>
      <w:r>
        <w:t>6 Cubas recortes e componentes de marmoraria</w:t>
      </w:r>
    </w:p>
    <w:p>
      <w:pPr>
        <w:pStyle w:val="Heading2"/>
      </w:pPr>
      <w:r>
        <w:t>Cuba e recorte são entidades distintas</w:t>
      </w:r>
    </w:p>
    <w:p>
      <w:r>
        <w:rPr>
          <w:b w:val="0"/>
        </w:rPr>
        <w:t>A cuba representa o componente instalado; o recorte representa a abertura na pedra. Uma cuba pode referenciar um recorte, mas suas dimensões externas não definem automaticamente a abertura. Modelos de catálogo podem sugerir dimensões, sempre com origem e possibilidade de conferência.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8712"/>
      </w:tblGrid>
      <w:tr>
        <w:trPr>
          <w:tblHeader/>
          <w:cantSplit/>
        </w:trPr>
        <w:tc>
          <w:tcPr>
            <w:tcW w:type="dxa" w:w="1224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8712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Parâmetros e comportamento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CP-01</w:t>
            </w:r>
          </w:p>
        </w:tc>
        <w:tc>
          <w:tcPr>
            <w:tcW w:type="dxa" w:w="87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Cuba: formato, largura, comprimento no plano, profundidade vertical, instalação, rotação e posição.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CP-02</w:t>
            </w:r>
          </w:p>
        </w:tc>
        <w:tc>
          <w:tcPr>
            <w:tcW w:type="dxa" w:w="8712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Recorte: contorno próprio, dimensões, raios de canto, posição e vínculo opcional com cuba.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CP-03</w:t>
            </w:r>
          </w:p>
        </w:tc>
        <w:tc>
          <w:tcPr>
            <w:tcW w:type="dxa" w:w="87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Furo: diâmetro e centro; múltiplos furos com espaçamento explícito.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CP-04</w:t>
            </w:r>
          </w:p>
        </w:tc>
        <w:tc>
          <w:tcPr>
            <w:tcW w:type="dxa" w:w="8712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Saia e rodabanca: borda vinculada, extensão, altura, espessura, afastamento e orientação.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CP-05</w:t>
            </w:r>
          </w:p>
        </w:tc>
        <w:tc>
          <w:tcPr>
            <w:tcW w:type="dxa" w:w="87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Lateral e apoio: peça com contorno, posição 3D e relação com o conjunto.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CP-06</w:t>
            </w:r>
          </w:p>
        </w:tc>
        <w:tc>
          <w:tcPr>
            <w:tcW w:type="dxa" w:w="8712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Acabamento: perfil por borda ou trecho, incluindo encontro a 45° e combinações compatíveis.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CP-07</w:t>
            </w:r>
          </w:p>
        </w:tc>
        <w:tc>
          <w:tcPr>
            <w:tcW w:type="dxa" w:w="87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Cuba esculpida P1: paredes, fundo, profundidade, inclinação e posição do ralo parametrizados.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Regras de posicionamento</w:t>
      </w:r>
    </w:p>
    <w:p>
      <w:r>
        <w:rPr>
          <w:b w:val="0"/>
        </w:rPr>
        <w:t>O usuário escolhe a referência: esquerda, direita, superior, inferior ou centro, conforme a vista superior da peça. Define coordenadas ou afastamentos suficientes para posicionar o elemento; as demais distâncias são calculadas. O sistema não aceita quatro afastamentos incompatíveis como se fossem independentes.</w:t>
      </w:r>
    </w:p>
    <w:p>
      <w:r>
        <w:rPr>
          <w:b w:val="0"/>
        </w:rPr>
        <w:t>Cuba e recorte acompanham a transformação da peça à qual pertencem. Ao reduzir a bancada, se o recorte sair do limite, o sistema destaca o erro e bloqueia a liberação técnica. A edição não deve recortar ou reposicionar a cuba silenciosamente.</w:t>
      </w:r>
    </w:p>
    <w:p>
      <w:pPr>
        <w:pStyle w:val="Heading2"/>
      </w:pPr>
      <w:r>
        <w:t>Acabamentos combinados</w:t>
      </w:r>
    </w:p>
    <w:p>
      <w:r>
        <w:rPr>
          <w:b w:val="0"/>
        </w:rPr>
        <w:t>A borda pode ter uma saia e uma união a 45° quando a combinação fizer sentido. Cada característica tem sua própria representação, sem gerar serviço ou cobrança. Trechos parciais devem usar início e fim identificáveis na borda. Em curvas, a referência é a extensão do arco, e não apenas um lado retangular.</w:t>
      </w:r>
    </w:p>
    <w:p>
      <w:pPr>
        <w:pStyle w:val="Heading2"/>
      </w:pPr>
      <w:r>
        <w:t>Regras de fabricação</w:t>
      </w:r>
    </w:p>
    <w:p>
      <w:r>
        <w:rPr>
          <w:b w:val="0"/>
        </w:rPr>
        <w:t>Folgas, distâncias mínimas e limites dependentes de material ou processo devem ser configuráveis pela Inova. A ausência desses parâmetros deve aparecer na conferência; o software não deve inventar medidas universais de fabricação.</w:t>
      </w:r>
    </w:p>
    <w:p>
      <w:pPr>
        <w:pStyle w:val="Heading1"/>
        <w:pageBreakBefore/>
      </w:pPr>
      <w:r>
        <w:t>7 Visualização em três dimensões</w:t>
      </w:r>
    </w:p>
    <w:p>
      <w:r>
        <w:rPr>
          <w:b w:val="0"/>
        </w:rPr>
        <w:t>A vista 3D deve ser uma representação derivada do documento técnico. O usuário não precisa redesenhar a bancada para vê-la em volume. Alterações de contorno, espessura, recortes, posição e componentes devem reconstruir apenas os elementos afetados.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8712"/>
      </w:tblGrid>
      <w:tr>
        <w:trPr>
          <w:tblHeader/>
          <w:cantSplit/>
        </w:trPr>
        <w:tc>
          <w:tcPr>
            <w:tcW w:type="dxa" w:w="1224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8712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Resultado obrigatório na etapa P1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VIS-01</w:t>
            </w:r>
          </w:p>
        </w:tc>
        <w:tc>
          <w:tcPr>
            <w:tcW w:type="dxa" w:w="87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Gerar volume das peças com espessura e orientação corretas.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VIS-02</w:t>
            </w:r>
          </w:p>
        </w:tc>
        <w:tc>
          <w:tcPr>
            <w:tcW w:type="dxa" w:w="8712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Representar recortes como aberturas reais no volume, sem imagens opacas simulando furos.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VIS-03</w:t>
            </w:r>
          </w:p>
        </w:tc>
        <w:tc>
          <w:tcPr>
            <w:tcW w:type="dxa" w:w="87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Exibir cubas e peças verticais com profundidade, elevação e posicionamento coerentes.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VIS-04</w:t>
            </w:r>
          </w:p>
        </w:tc>
        <w:tc>
          <w:tcPr>
            <w:tcW w:type="dxa" w:w="8712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Disponibilizar órbita, zoom, enquadramento e vistas superior, frontal, lateral e isométrica.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VIS-05</w:t>
            </w:r>
          </w:p>
        </w:tc>
        <w:tc>
          <w:tcPr>
            <w:tcW w:type="dxa" w:w="87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Aplicar textura, escala, rotação de veios e parâmetros visuais por peça.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VIS-06</w:t>
            </w:r>
          </w:p>
        </w:tc>
        <w:tc>
          <w:tcPr>
            <w:tcW w:type="dxa" w:w="8712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Selecionar o mesmo elemento entre 2D, lista de peças e 3D.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VIS-07</w:t>
            </w:r>
          </w:p>
        </w:tc>
        <w:tc>
          <w:tcPr>
            <w:tcW w:type="dxa" w:w="87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Exportar imagem de apresentação com revisão identificada e opção de cotas.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VIS-08</w:t>
            </w:r>
          </w:p>
        </w:tc>
        <w:tc>
          <w:tcPr>
            <w:tcW w:type="dxa" w:w="8712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Indicar falhas de geração do volume e conservar a geometria original para correção.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Apresentação para o cliente</w:t>
      </w:r>
    </w:p>
    <w:p>
      <w:r>
        <w:rPr>
          <w:b w:val="0"/>
        </w:rPr>
        <w:t>O modo Apresentação reduz as ferramentas de edição, amplia a visualização e oferece vistas salvas. Deve permitir alternar materiais visuais sem alterar o orçamento. Ao salvar uma mudança de material técnico, cria-se alteração no rascunho; a comparação temporária de aparências pode ser descartada sem modificar o documento.</w:t>
      </w:r>
    </w:p>
    <w:p>
      <w:pPr>
        <w:pStyle w:val="Heading2"/>
      </w:pPr>
      <w:r>
        <w:t>Material e fidelidade</w:t>
      </w:r>
    </w:p>
    <w:p>
      <w:r>
        <w:rPr>
          <w:b w:val="0"/>
        </w:rPr>
        <w:t>A amostra indica aparência aproximada; não garante o desenho dos veios da chapa real. A textura deverá ter escala configurável para evitar padrões desproporcionais. Representação de chapa específica, paginação e continuidade real de veios ficam fora do compromisso inicial.</w:t>
      </w:r>
    </w:p>
    <w:p>
      <w:pPr>
        <w:pStyle w:val="Heading2"/>
      </w:pPr>
      <w:r>
        <w:t>Separação entre modelo e renderização</w:t>
      </w:r>
    </w:p>
    <w:p>
      <w:r>
        <w:rPr>
          <w:b w:val="0"/>
        </w:rPr>
        <w:t>Malhas, câmeras, luzes e caches de renderização não substituem as medidas canônicas. A geometria persistida deve permitir reconstruir o 3D. Quando o dispositivo não suportar a apresentação, o 2D e a edição numérica continuam disponíveis, com mensagem clara sobre a indisponibilidade do 3D.</w:t>
      </w:r>
    </w:p>
    <w:p>
      <w:pPr>
        <w:pStyle w:val="Heading1"/>
        <w:pageBreakBefore/>
      </w:pPr>
      <w:r>
        <w:t>8 Modelo geométrico e validações</w:t>
      </w:r>
    </w:p>
    <w:p>
      <w:pPr>
        <w:pStyle w:val="Heading2"/>
      </w:pPr>
      <w:r>
        <w:t>Coordenadas e unidades</w:t>
      </w:r>
    </w:p>
    <w:p>
      <w:r>
        <w:rPr>
          <w:b w:val="0"/>
        </w:rPr>
        <w:t>A unidade canônica é o milímetro. Na peça, X cresce para a direita, Y para o lado superior da vista em planta e Z para cima. A conversão para coordenadas de tela, cujo eixo vertical pode ser invertido, pertence ao renderizador. Rotação é armazenada em graus com convenção explícita; transformações não mudam o significado local das bordas.</w:t>
      </w:r>
    </w:p>
    <w:p>
      <w:r>
        <w:rPr>
          <w:b w:val="0"/>
        </w:rPr>
        <w:t>Dimensões usam precisão decimal definida, com entrada inicial de até 0,1 mm. Cálculos geométricos podem usar ponto flutuante com tolerância numérica documentada; essa tolerância não equivale à tolerância de fabricação. A precisão apresentada nunca deve sugerir uma precisão física garantida.</w:t>
      </w:r>
    </w:p>
    <w:p>
      <w:pPr>
        <w:pStyle w:val="Heading2"/>
      </w:pPr>
      <w:r>
        <w:t>Contornos e identidade</w:t>
      </w:r>
    </w:p>
    <w:p>
      <w:r>
        <w:rPr>
          <w:b w:val="0"/>
        </w:rPr>
        <w:t>P0 admite polígonos, círculos e retângulos com cantos parametrizados. P1 acrescenta edição livre de arcos circulares. Cada peça tem contorno externo fechado; recortes usam contornos internos. Vértices, arestas e elementos têm IDs estáveis, permitindo vincular cotas e acabamentos. O servidor valida auto-interseções, orientação dos contornos, área positiva e relações de pertencimento.</w:t>
      </w:r>
    </w:p>
    <w:p>
      <w:r>
        <w:rPr>
          <w:b w:val="0"/>
        </w:rPr>
        <w:t>Dimensões retangulares são parâmetros que geram o contorno; não devem coexistir com um contorno contraditório editável. Ao converter um retângulo em forma livre, o modo de geometria é alterado explicitamente. Largura total e comprimento total passam a ser medidas derivadas do contorno.</w:t>
      </w:r>
    </w:p>
    <w:p>
      <w:pPr>
        <w:pStyle w:val="Heading2"/>
      </w:pPr>
      <w:r>
        <w:t>Validações por severidade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896"/>
        <w:gridCol w:w="3600"/>
      </w:tblGrid>
      <w:tr>
        <w:trPr>
          <w:tblHeader/>
          <w:cantSplit/>
        </w:trPr>
        <w:tc>
          <w:tcPr>
            <w:tcW w:type="dxa" w:w="1440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Nível</w:t>
            </w:r>
          </w:p>
        </w:tc>
        <w:tc>
          <w:tcPr>
            <w:tcW w:type="dxa" w:w="4896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Exemplos</w:t>
            </w:r>
          </w:p>
        </w:tc>
        <w:tc>
          <w:tcPr>
            <w:tcW w:type="dxa" w:w="3600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Consequência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Erro estrutural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NaN, ID duplicado, referência inexistente, contorno aberto ou corrompido.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Rejeitar salvamento autoritativo.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Erro técnico</w:t>
            </w:r>
          </w:p>
        </w:tc>
        <w:tc>
          <w:tcPr>
            <w:tcW w:type="dxa" w:w="4896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Recorte fora da peça, sobreposição inválida, espessura não positiva.</w:t>
            </w:r>
          </w:p>
        </w:tc>
        <w:tc>
          <w:tcPr>
            <w:tcW w:type="dxa" w:w="3600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Permitir rascunho íntegro; bloquear revisão para conferência.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Aviso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Regra de folga não configurada; colisão que pode representar encaixe.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Exigir conferência ou justificativa antes da liberação.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Relações e recalculação</w:t>
      </w:r>
    </w:p>
    <w:p>
      <w:r>
        <w:rPr>
          <w:b w:val="0"/>
        </w:rPr>
        <w:t>Mover ou girar uma peça transporta seus elementos locais. Redimensionar recalcula restrições e aponta relações impossíveis. Excluir uma aresta referenciada exige atualizar ou remover seus vínculos na mesma transação. Interseções entre peças podem ser intencionais; precisam ser classificadas, não rejeitadas indiscriminadamente.</w:t>
      </w:r>
    </w:p>
    <w:p>
      <w:pPr>
        <w:pStyle w:val="Heading1"/>
        <w:pageBreakBefore/>
      </w:pPr>
      <w:r>
        <w:t>9 Revisões aprovação e produção</w:t>
      </w:r>
    </w:p>
    <w:p>
      <w:pPr>
        <w:pStyle w:val="Heading2"/>
      </w:pPr>
      <w:r>
        <w:t>Máquina de estados técnicos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320"/>
        <w:gridCol w:w="3672"/>
      </w:tblGrid>
      <w:tr>
        <w:trPr>
          <w:tblHeader/>
          <w:cantSplit/>
        </w:trPr>
        <w:tc>
          <w:tcPr>
            <w:tcW w:type="dxa" w:w="1944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Estado atual</w:t>
            </w:r>
          </w:p>
        </w:tc>
        <w:tc>
          <w:tcPr>
            <w:tcW w:type="dxa" w:w="4320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Ação autorizada</w:t>
            </w:r>
          </w:p>
        </w:tc>
        <w:tc>
          <w:tcPr>
            <w:tcW w:type="dxa" w:w="3672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Rascunho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Enviar para conferência após validação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Cria revisão imutável Em conferência.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Em conferência</w:t>
            </w:r>
          </w:p>
        </w:tc>
        <w:tc>
          <w:tcPr>
            <w:tcW w:type="dxa" w:w="4320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Aprovar ou devolver com observações</w:t>
            </w:r>
          </w:p>
        </w:tc>
        <w:tc>
          <w:tcPr>
            <w:tcW w:type="dxa" w:w="3672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Revisão Aprovada ou Devolvida.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Aprovada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Liberar com verificação operacional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Revisão Liberada para produção.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Liberada</w:t>
            </w:r>
          </w:p>
        </w:tc>
        <w:tc>
          <w:tcPr>
            <w:tcW w:type="dxa" w:w="4320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Publicar nova revisão aprovada e substituir vínculo</w:t>
            </w:r>
          </w:p>
        </w:tc>
        <w:tc>
          <w:tcPr>
            <w:tcW w:type="dxa" w:w="3672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Revisão anterior Substituída, preservada no histórico.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Qualquer revisão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Iniciar alteração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Novo rascunho derivado; revisão de origem intacta.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Status técnico, status comercial e andamento de produção são independentes. “Orçamento aprovado” não significa “Desenho conferido”. “Peça fabricada” não significa “Entregue”. Os nomes e transições operacionais existentes devem ser preservados ou mapeados explicitamente na implementação.</w:t>
      </w:r>
    </w:p>
    <w:p>
      <w:pPr>
        <w:pStyle w:val="Heading2"/>
      </w:pPr>
      <w:r>
        <w:t>Conteúdo da revisão</w:t>
      </w:r>
    </w:p>
    <w:p>
      <w:r>
        <w:rPr>
          <w:b w:val="0"/>
        </w:rPr>
        <w:t>Cada revisão armazena documento geométrico, número, versão de schema, hash, autor e data. O material visual guarda nome, parâmetros e referência imutável à versão da textura, preservada após mudanças no catálogo. Aprovação registra responsável, observação e data. Documentos exportados registram a revisão e o hash de origem, permitindo identificar exatamente o que foi enviado.</w:t>
      </w:r>
    </w:p>
    <w:p>
      <w:pPr>
        <w:pStyle w:val="Heading2"/>
      </w:pPr>
      <w:r>
        <w:t>Condições de liberação</w:t>
      </w:r>
    </w:p>
    <w:p>
      <w:pPr>
        <w:pStyle w:val="ListBullet"/>
        <w:spacing w:after="80"/>
      </w:pPr>
      <w:r>
        <w:t>Documento estruturalmente íntegro e sem erros técnicos bloqueantes.</w:t>
      </w:r>
    </w:p>
    <w:p>
      <w:pPr>
        <w:pStyle w:val="ListBullet"/>
        <w:spacing w:after="80"/>
      </w:pPr>
      <w:r>
        <w:t>Avisos relevantes conferidos e parâmetros de fabricação exigidos preenchidos.</w:t>
      </w:r>
    </w:p>
    <w:p>
      <w:pPr>
        <w:pStyle w:val="ListBullet"/>
        <w:spacing w:after="80"/>
      </w:pPr>
      <w:r>
        <w:t>Revisão técnica aprovada por usuário com permissão específica.</w:t>
      </w:r>
    </w:p>
    <w:p>
      <w:pPr>
        <w:pStyle w:val="ListBullet"/>
        <w:spacing w:after="80"/>
      </w:pPr>
      <w:r>
        <w:t>Condição comercial verificada conforme a política da Inova, sem consultar ou recalcular preço pelo editor.</w:t>
      </w:r>
    </w:p>
    <w:p>
      <w:pPr>
        <w:pStyle w:val="ListBullet"/>
        <w:spacing w:after="80"/>
      </w:pPr>
      <w:r>
        <w:t>Registro de prazo e referência de produção, quando exigidos pelo fluxo operacional.</w:t>
      </w:r>
    </w:p>
    <w:p>
      <w:pPr>
        <w:pStyle w:val="Heading2"/>
      </w:pPr>
      <w:r>
        <w:t>Alteração com produção iniciada</w:t>
      </w:r>
    </w:p>
    <w:p>
      <w:r>
        <w:rPr>
          <w:b w:val="0"/>
        </w:rPr>
        <w:t>Uma nova revisão deve exibir que existe produção vinculada a uma versão anterior. A substituição exige ação explícita e justificativa. O sistema mantém o responsável e o instante da troca, para evitar que montadores e fabricantes trabalhem sobre versões diferentes sem perceber.</w:t>
      </w:r>
    </w:p>
    <w:p>
      <w:pPr>
        <w:pStyle w:val="Heading1"/>
        <w:pageBreakBefore/>
      </w:pPr>
      <w:r>
        <w:t>10 Arquitetura de software proposta</w:t>
      </w:r>
    </w:p>
    <w:p>
      <w:r>
        <w:rPr>
          <w:b w:val="0"/>
        </w:rPr>
        <w:t>Adotar um monólito modular com frontend web, API e PostgreSQL. A stack de referência do SDD 1.1 permanece: Next.js e TypeScript no frontend, Node.js e Fastify na API, Zod na validação, Prisma na persistência e Docker no ambiente. A implementação deve primeiro confirmar a stack efetiva do repositório.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992"/>
      </w:tblGrid>
      <w:tr>
        <w:trPr>
          <w:tblHeader/>
          <w:cantSplit/>
        </w:trPr>
        <w:tc>
          <w:tcPr>
            <w:tcW w:type="dxa" w:w="1944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7992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Responsabilidade e dependências permitidas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customers e projects</w:t>
            </w:r>
          </w:p>
        </w:tc>
        <w:tc>
          <w:tcPr>
            <w:tcW w:type="dxa" w:w="79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Clientes, atendimentos, projetos e vínculos. Não calculam geometria nem preços.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catalog</w:t>
            </w:r>
          </w:p>
        </w:tc>
        <w:tc>
          <w:tcPr>
            <w:tcW w:type="dxa" w:w="7992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Dados do material; oferece projeção visual sem preços ao editor.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quotes e pricing</w:t>
            </w:r>
          </w:p>
        </w:tc>
        <w:tc>
          <w:tcPr>
            <w:tcW w:type="dxa" w:w="79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Itens comerciais, cálculo, descontos, snapshots e documento comercial.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design</w:t>
            </w:r>
          </w:p>
        </w:tc>
        <w:tc>
          <w:tcPr>
            <w:tcW w:type="dxa" w:w="7992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Rascunhos, revisões, regras técnicas e autorização de operações.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geometry</w:t>
            </w:r>
          </w:p>
        </w:tc>
        <w:tc>
          <w:tcPr>
            <w:tcW w:type="dxa" w:w="79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Contornos, medidas, transformações, relações e validações puras.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render2d e render3d</w:t>
            </w:r>
          </w:p>
        </w:tc>
        <w:tc>
          <w:tcPr>
            <w:tcW w:type="dxa" w:w="7992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Adaptadores de apresentação derivados do documento geométrico.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exports</w:t>
            </w:r>
          </w:p>
        </w:tc>
        <w:tc>
          <w:tcPr>
            <w:tcW w:type="dxa" w:w="79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PDF técnico, imagens e DXF; recebe revisão técnica identificada.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production e audit</w:t>
            </w:r>
          </w:p>
        </w:tc>
        <w:tc>
          <w:tcPr>
            <w:tcW w:type="dxa" w:w="7992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Vínculo de revisão liberada, andamento e trilha de operações.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Fluxo de edição</w:t>
      </w:r>
    </w:p>
    <w:p>
      <w:r>
        <w:rPr>
          <w:b w:val="0"/>
        </w:rPr>
        <w:t>A interface transforma uma intenção em comando, como MoverPeça ou AlterarRecorte. O comando atualiza o estado técnico e dispara validação local. Os renderizadores leem esse estado. O salvamento envia o documento e sua versão-base para a API, que repete as validações necessárias e persiste a atualização em transação.</w:t>
      </w:r>
    </w:p>
    <w:p>
      <w:pPr>
        <w:pStyle w:val="Heading2"/>
      </w:pPr>
      <w:r>
        <w:t>Escolha das ferramentas gráficas</w:t>
      </w:r>
    </w:p>
    <w:p>
      <w:r>
        <w:rPr>
          <w:b w:val="0"/>
        </w:rPr>
        <w:t>O SDD define contratos, sem comprometer a solução com uma biblioteca ainda não validada. Uma prova técnica deve comparar renderização vetorial 2D e renderização 3D quanto a precisão, seleção, recortes, curvas, exportação, licença, tamanho do pacote e desempenho. As bibliotecas escolhidas ficam atrás de adaptadores; seus objetos internos não são o formato persistido.</w:t>
      </w:r>
    </w:p>
    <w:p>
      <w:pPr>
        <w:pStyle w:val="Heading2"/>
      </w:pPr>
      <w:r>
        <w:t>Dependências proibidas</w:t>
      </w:r>
    </w:p>
    <w:p>
      <w:r>
        <w:rPr>
          <w:b w:val="0"/>
        </w:rPr>
        <w:t>design, geometry e os renderizadores não importam pricing nem executam cálculo comercial. O backend não retorna campos de preço no contrato visual. Os módulos comerciais também não modificam o documento técnico por efeitos indiretos de salvar um orçamento.</w:t>
      </w:r>
    </w:p>
    <w:p>
      <w:pPr>
        <w:pStyle w:val="Heading1"/>
        <w:pageBreakBefore/>
      </w:pPr>
      <w:r>
        <w:t>11 Modelo de dados e relacionamentos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rPr>
          <w:tblHeader/>
          <w:cantSplit/>
        </w:trPr>
        <w:tc>
          <w:tcPr>
            <w:tcW w:type="dxa" w:w="2376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Entidade</w:t>
            </w:r>
          </w:p>
        </w:tc>
        <w:tc>
          <w:tcPr>
            <w:tcW w:type="dxa" w:w="7560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Campos principais e propósito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Customer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id, nome e contatos; cliente do atendimento.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Job</w:t>
            </w:r>
          </w:p>
        </w:tc>
        <w:tc>
          <w:tcPr>
            <w:tcW w:type="dxa" w:w="7560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id, customerId, nome, status; agrega projetos e orçamentos.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Project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id, jobId, nome, prazoAcordado; cozinha, banheiro ou outro conjunto.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Quote e QuoteItem</w:t>
            </w:r>
          </w:p>
        </w:tc>
        <w:tc>
          <w:tcPr>
            <w:tcW w:type="dxa" w:w="7560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Mantêm campos financeiros e snapshots; item pode referenciar projectId do mesmo Job.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Design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id, projectId, nome, activeDraftId; permite vários desenhos por projeto.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DesignDraft</w:t>
            </w:r>
          </w:p>
        </w:tc>
        <w:tc>
          <w:tcPr>
            <w:tcW w:type="dxa" w:w="7560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id, designId, baseRevisionId, version, schemaVersion, document JSONB, updatedBy, updatedAt.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DesignRevision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id, designId, number, schemaVersion, document JSONB, contentHash, createdBy, createdAt.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RevisionDecision</w:t>
            </w:r>
          </w:p>
        </w:tc>
        <w:tc>
          <w:tcPr>
            <w:tcW w:type="dxa" w:w="7560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revisionId, decisão, responsável, observação, data; trilha de conferência e aprovação.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CommercialDesignLink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quoteRevisionId, designRevisionId, conferidoPor, conferidoEm; vínculo explícito.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ProductionRelease</w:t>
            </w:r>
          </w:p>
        </w:tc>
        <w:tc>
          <w:tcPr>
            <w:tcW w:type="dxa" w:w="7560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projectId, designRevisionId, responsável, liberadoEm, substituiReleaseId.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ExportArtifact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revisionId, formato, opções, status, storageKey, hash, criadoEm.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AuditEvent</w:t>
            </w:r>
          </w:p>
        </w:tc>
        <w:tc>
          <w:tcPr>
            <w:tcW w:type="dxa" w:w="7560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ator, ação, entidade, identificador, instante e metadados mínimos.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Cardinalidade e consistência</w:t>
      </w:r>
    </w:p>
    <w:p>
      <w:r>
        <w:rPr>
          <w:b w:val="0"/>
        </w:rPr>
        <w:t>Customer possui vários Jobs; Job possui vários Projects e Quotes; Project possui vários Designs; Design possui um rascunho ativo e várias revisões. Uma revisão comercial pode vincular várias revisões técnicas. O vínculo só é válido entre registros do mesmo atendimento e escopo de autorização.</w:t>
      </w:r>
    </w:p>
    <w:p>
      <w:pPr>
        <w:pStyle w:val="Heading2"/>
      </w:pPr>
      <w:r>
        <w:t>Decisão sobre persistência geométrica</w:t>
      </w:r>
    </w:p>
    <w:p>
      <w:r>
        <w:rPr>
          <w:b w:val="0"/>
        </w:rPr>
        <w:t>Na primeira implementação, peças, elementos, cotas e relações ficam no documento JSONB versionado. Não manter uma segunda cópia autoritativa da mesma geometria em tabelas DesignPiece e DesignElement. Índices de busca e miniaturas podem ser derivados e reconstruídos. Essa escolha reduz inconsistência entre edições, undo, exportação e revisão.</w:t>
      </w:r>
    </w:p>
    <w:p>
      <w:r>
        <w:rPr>
          <w:b w:val="0"/>
        </w:rPr>
        <w:t>Revisões não são sobrescritas. Exclusão de catálogo ou projeto não pode remover em cascata o conteúdo necessário para interpretar documentos já aprovados.</w:t>
      </w:r>
    </w:p>
    <w:p>
      <w:pPr>
        <w:pStyle w:val="Heading1"/>
        <w:pageBreakBefore/>
      </w:pPr>
      <w:r>
        <w:t>12 Contrato do documento técnico</w:t>
      </w:r>
    </w:p>
    <w:p>
      <w:r>
        <w:rPr>
          <w:b w:val="0"/>
        </w:rPr>
        <w:t>O documento é independente da tecnologia gráfica. Todo schema deve ter versão explícita e validação discriminada por tipo de elemento. Campos extras não reconhecidos são rejeitados ou tratados por migração controlada; não são usados como dados arbitrários de execução.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488"/>
      </w:tblGrid>
      <w:tr>
        <w:trPr>
          <w:tblHeader/>
          <w:cantSplit/>
        </w:trPr>
        <w:tc>
          <w:tcPr>
            <w:tcW w:type="dxa" w:w="2448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7488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Conteúdo esperado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schemaVersion e unit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Versão do contrato e unidade canônica mm.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coordinateSystem</w:t>
            </w:r>
          </w:p>
        </w:tc>
        <w:tc>
          <w:tcPr>
            <w:tcW w:type="dxa" w:w="7488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Convenções dos eixos, origem e orientação angular.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assemblies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Conjuntos nomeados que agrupam peças e sua transformação no projeto.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pieces</w:t>
            </w:r>
          </w:p>
        </w:tc>
        <w:tc>
          <w:tcPr>
            <w:tcW w:type="dxa" w:w="7488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ID, nome, contorno, espessura, transformação, referência visual e modo paramétrico.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features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Cuba, recorte, furo, saia, rodabanca e acabamento; tipo, peça-pai, parâmetros e vínculos.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constraints</w:t>
            </w:r>
          </w:p>
        </w:tc>
        <w:tc>
          <w:tcPr>
            <w:tcW w:type="dxa" w:w="7488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Ancoragem, alinhamento e afastamentos; referências por ID e parâmetros.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dimensions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Cotas associadas a elementos e referências geométricas.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annotations e layers</w:t>
            </w:r>
          </w:p>
        </w:tc>
        <w:tc>
          <w:tcPr>
            <w:tcW w:type="dxa" w:w="7488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Textos livres, visibilidade, bloqueio e agrupamento visual.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views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Câmeras e enquadramentos nomeados, sem alterar medidas reais.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Exemplo dimensional de referência</w:t>
      </w:r>
    </w:p>
    <w:p>
      <w:r>
        <w:rPr>
          <w:b w:val="0"/>
        </w:rPr>
        <w:t>Peça B01: bancada de 2440 × 650 mm e espessura de 20 mm. Cuba C01: dimensão externa de 560 × 340 mm. Recorte R01: 540 × 320 mm, usado apenas como dado ilustrativo do teste. C01 e R01 compartilham o centro em X = 700 mm e Y = 325 mm.</w:t>
      </w:r>
    </w:p>
    <w:p>
      <w:r>
        <w:rPr>
          <w:b w:val="0"/>
        </w:rPr>
        <w:t>Nesse exemplo, a borda externa da cuba fica a 420 mm da esquerda e 155 mm de cada lado no eixo Y. O recorte fica a 430 mm da esquerda e 165 mm de cada lado no eixo Y. O teste demonstra que as duas geometrias são distintas; as dimensões de corte reais dependem da especificação adotada pela Inova.</w:t>
      </w:r>
    </w:p>
    <w:p>
      <w:pPr>
        <w:pStyle w:val="Heading2"/>
      </w:pPr>
      <w:r>
        <w:t>Dados ausentes e evolução</w:t>
      </w:r>
    </w:p>
    <w:p>
      <w:r>
        <w:rPr>
          <w:b w:val="0"/>
        </w:rPr>
        <w:t>Modelos simples não precisam conter curvas ou cubas. A migração de schema acrescenta defaults explícitos e conserva o original em backup. O cliente não pode sobrescrever uma versão de schema mais nova que não entende. Campos como unitPrice, subtotal e discount são proibidos no contrato técnico.</w:t>
      </w:r>
    </w:p>
    <w:p>
      <w:pPr>
        <w:pStyle w:val="Heading1"/>
        <w:pageBreakBefore/>
      </w:pPr>
      <w:r>
        <w:t>13 API salvamento e recuperação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32"/>
        <w:gridCol w:w="5904"/>
      </w:tblGrid>
      <w:tr>
        <w:trPr>
          <w:tblHeader/>
          <w:cantSplit/>
        </w:trPr>
        <w:tc>
          <w:tcPr>
            <w:tcW w:type="dxa" w:w="4032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Método e rota</w:t>
            </w:r>
          </w:p>
        </w:tc>
        <w:tc>
          <w:tcPr>
            <w:tcW w:type="dxa" w:w="5904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Contrato e resultado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POST /projects/{id}/designs</w:t>
            </w:r>
          </w:p>
        </w:tc>
        <w:tc>
          <w:tcPr>
            <w:tcW w:type="dxa" w:w="59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Cria desenho independente de orçamento; retorna ID e rascunho inicial.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GET /designs/{id}/draft</w:t>
            </w:r>
          </w:p>
        </w:tc>
        <w:tc>
          <w:tcPr>
            <w:tcW w:type="dxa" w:w="590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Retorna documento, schemaVersion e versão de edição.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PUT /designs/{id}/draft</w:t>
            </w:r>
          </w:p>
        </w:tc>
        <w:tc>
          <w:tcPr>
            <w:tcW w:type="dxa" w:w="59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Recebe documento e baseVersion; valida e salva atomicamente.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POST /designs/{id}/validate</w:t>
            </w:r>
          </w:p>
        </w:tc>
        <w:tc>
          <w:tcPr>
            <w:tcW w:type="dxa" w:w="590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Retorna diagnósticos por elemento, severidade e regra.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POST /designs/{id}/revisions</w:t>
            </w:r>
          </w:p>
        </w:tc>
        <w:tc>
          <w:tcPr>
            <w:tcW w:type="dxa" w:w="59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Congela versão salva e cria revisão Em conferência.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POST /revisions/{id}/decisions</w:t>
            </w:r>
          </w:p>
        </w:tc>
        <w:tc>
          <w:tcPr>
            <w:tcW w:type="dxa" w:w="590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Aprova ou devolve; exige permissão e estado compatível.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POST /revisions/{id}/release</w:t>
            </w:r>
          </w:p>
        </w:tc>
        <w:tc>
          <w:tcPr>
            <w:tcW w:type="dxa" w:w="59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Libera revisão aprovada após verificações operacionais.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POST /revisions/{id}/exports</w:t>
            </w:r>
          </w:p>
        </w:tc>
        <w:tc>
          <w:tcPr>
            <w:tcW w:type="dxa" w:w="590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Solicita exportação idempotente por revisão, formato e opções.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GET /exports/{id}</w:t>
            </w:r>
          </w:p>
        </w:tc>
        <w:tc>
          <w:tcPr>
            <w:tcW w:type="dxa" w:w="59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Retorna estado e acesso autorizado ao artefato concluído.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GET /catalog/materials/visual</w:t>
            </w:r>
          </w:p>
        </w:tc>
        <w:tc>
          <w:tcPr>
            <w:tcW w:type="dxa" w:w="590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Retorna projeção visual sem preços e sem condições comerciais.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Concorrência e erros</w:t>
      </w:r>
    </w:p>
    <w:p>
      <w:r>
        <w:rPr>
          <w:b w:val="0"/>
        </w:rPr>
        <w:t>Atualizações exigem baseVersion no corpo da requisição. A API incrementa a versão após salvar e retorna 409 em conflito, sem sobrescrever o trabalho de outro usuário. Erros usam formato padronizado com code, message, fieldErrors, diagnostics e requestId. Falta de autorização retorna 403; documento inválido retorna 422.</w:t>
      </w:r>
    </w:p>
    <w:p>
      <w:pPr>
        <w:pStyle w:val="Heading2"/>
      </w:pPr>
      <w:r>
        <w:t>Salvamento automático</w:t>
      </w:r>
    </w:p>
    <w:p>
      <w:r>
        <w:rPr>
          <w:b w:val="0"/>
        </w:rPr>
        <w:t>Proposta inicial: salvar após 2 segundos sem novos comandos e, durante edição contínua, no máximo a cada 15 segundos. Exibir “Salvando”, “Salvo” ou “Falha ao salvar”. Autosave não cria revisão aprovada e não entra no histórico de desfazer. A revisão só usa conteúdo confirmado pelo servidor.</w:t>
      </w:r>
    </w:p>
    <w:p>
      <w:pPr>
        <w:pStyle w:val="Heading2"/>
      </w:pPr>
      <w:r>
        <w:t>Recuperação e undo</w:t>
      </w:r>
    </w:p>
    <w:p>
      <w:r>
        <w:rPr>
          <w:b w:val="0"/>
        </w:rPr>
        <w:t>O cliente conserva temporariamente o rascunho pendente em armazenamento local, associado ao usuário e projeto. Ao reconectar, compara a versão e oferece recuperar como cópia em caso de conflito. Histórico de undo e redo agrupa cada ação lógica e mantém no mínimo 100 comandos na sessão. Reabrir o navegador recupera o rascunho, sem promessa de restaurar toda a pilha de undo.</w:t>
      </w:r>
    </w:p>
    <w:p>
      <w:pPr>
        <w:pStyle w:val="Heading1"/>
        <w:pageBreakBefore/>
      </w:pPr>
      <w:r>
        <w:t>14 Documentos técnicos e interoperabilidade CAD</w:t>
      </w:r>
    </w:p>
    <w:p>
      <w:pPr>
        <w:pStyle w:val="Heading2"/>
      </w:pPr>
      <w:r>
        <w:t>Saídas separadas</w:t>
      </w:r>
    </w:p>
    <w:p>
      <w:r>
        <w:rPr>
          <w:b w:val="0"/>
        </w:rPr>
        <w:t>O PDF comercial conserva o modelo de orçamento aprovado pela Inova. O PDF técnico mostra cliente, projeto, material visual, número da revisão, identificação das peças, vistas, cotas, detalhes e observações. Não contém preços. Exportar não cria nem modifica itens comerciais.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064"/>
      </w:tblGrid>
      <w:tr>
        <w:trPr>
          <w:tblHeader/>
          <w:cantSplit/>
        </w:trPr>
        <w:tc>
          <w:tcPr>
            <w:tcW w:type="dxa" w:w="1872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8064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Compromisso da versão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PDF técnico P0</w:t>
            </w:r>
          </w:p>
        </w:tc>
        <w:tc>
          <w:tcPr>
            <w:tcW w:type="dxa" w:w="80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Pranchas legíveis com cotas associativas, legenda e identificação da revisão.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PNG P1</w:t>
            </w:r>
          </w:p>
        </w:tc>
        <w:tc>
          <w:tcPr>
            <w:tcW w:type="dxa" w:w="806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Imagem de apresentação 2D ou 3D, com resolução escolhida e revisão identificada.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DXF 2D P1</w:t>
            </w:r>
          </w:p>
        </w:tc>
        <w:tc>
          <w:tcPr>
            <w:tcW w:type="dxa" w:w="80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Contornos e recortes em coordenadas reais; segmentos e arcos; camadas por categoria; unidade explícita.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Importação CAD P2</w:t>
            </w:r>
          </w:p>
        </w:tc>
        <w:tc>
          <w:tcPr>
            <w:tcW w:type="dxa" w:w="806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Somente após definir entidades aceitas, limites de arquivo e relatório de conversão.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DWG e CNC</w:t>
            </w:r>
          </w:p>
        </w:tc>
        <w:tc>
          <w:tcPr>
            <w:tcW w:type="dxa" w:w="80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Sem promessa de suporte nesta versão; exigem especificação própria.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Escala e paginação</w:t>
      </w:r>
    </w:p>
    <w:p>
      <w:r>
        <w:rPr>
          <w:b w:val="0"/>
        </w:rPr>
        <w:t>O PDF técnico permite escala declarada quando couber no papel ou divisão em vistas e detalhes. “Ajustar à página” não deve ser apresentado como escala de fabricação. Se uma peça ultrapassar a área útil, o sistema usa outra escala, outro formato de prancha ou detalhes adicionais, mantendo as cotas legíveis.</w:t>
      </w:r>
    </w:p>
    <w:p>
      <w:pPr>
        <w:pStyle w:val="Heading2"/>
      </w:pPr>
      <w:r>
        <w:t>Contrato de exportação DXF</w:t>
      </w:r>
    </w:p>
    <w:p>
      <w:r>
        <w:rPr>
          <w:b w:val="0"/>
        </w:rPr>
        <w:t>A primeira versão exporta apenas o subconjunto geométrico aprovado na prova técnica: linhas, polilinhas e arcos em milímetros. Textos e cotas são auxiliares, não definem o contorno. Recursos não suportados devem aparecer no relatório; o sistema não pode omitir silenciosamente curvas, furos ou acabamentos relevantes.</w:t>
      </w:r>
    </w:p>
    <w:p>
      <w:r>
        <w:rPr>
          <w:b w:val="0"/>
        </w:rPr>
        <w:t>A verificação deve reabrir o arquivo em leitor independente e comparar dimensões, contornos fechados, posições e raios. Malhas 3D e imagens raster não substituem contornos CAD editáveis. A compatibilidade é declarada para o subconjunto e as ferramentas testadas, sem alegação de suporte universal.</w:t>
      </w:r>
    </w:p>
    <w:p>
      <w:pPr>
        <w:pStyle w:val="Heading2"/>
      </w:pPr>
      <w:r>
        <w:t>Reprodutibilidade</w:t>
      </w:r>
    </w:p>
    <w:p>
      <w:r>
        <w:rPr>
          <w:b w:val="0"/>
        </w:rPr>
        <w:t>A exportação recebe uma revisão imutável e suas opções. Falha no processamento não modifica o desenho. Repetir a solicitação com a mesma chave idempotente não cria vários trabalhos equivalentes. O histórico conserva a revisão utilizada em cada documento entregue.</w:t>
      </w:r>
    </w:p>
    <w:p>
      <w:pPr>
        <w:pStyle w:val="Heading1"/>
        <w:pageBreakBefore/>
      </w:pPr>
      <w:r>
        <w:t>15 Segurança operação e desempenho</w:t>
      </w:r>
    </w:p>
    <w:p>
      <w:pPr>
        <w:pStyle w:val="Heading2"/>
      </w:pPr>
      <w:r>
        <w:t>Autorização e dados</w:t>
      </w:r>
    </w:p>
    <w:p>
      <w:r>
        <w:rPr>
          <w:b w:val="0"/>
        </w:rPr>
        <w:t>Aplicar permissões no servidor por ação e por projeto. Projetista sem permissão comercial não recebe preços mesmo por chamadas diretas. Exports e imagens privadas seguem a mesma autorização. Entradas de texto e metadados de importação não executam scripts. Credenciais e dados pessoais não devem aparecer nos logs técnicos.</w:t>
      </w:r>
    </w:p>
    <w:p>
      <w:r>
        <w:rPr>
          <w:b w:val="0"/>
        </w:rPr>
        <w:t>P0 atende uma operação da Inova, sem pressupor produto multitenant. Comercialização para várias empresas exige isolamento por organização em consultas, índices, armazenamento e autorização antes de receber dados de clientes distintos.</w:t>
      </w:r>
    </w:p>
    <w:p>
      <w:pPr>
        <w:pStyle w:val="Heading2"/>
      </w:pPr>
      <w:r>
        <w:t>Metas propostas para homologação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5184"/>
        <w:gridCol w:w="3744"/>
      </w:tblGrid>
      <w:tr>
        <w:trPr>
          <w:tblHeader/>
          <w:cantSplit/>
        </w:trPr>
        <w:tc>
          <w:tcPr>
            <w:tcW w:type="dxa" w:w="1008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5184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Cenário</w:t>
            </w:r>
          </w:p>
        </w:tc>
        <w:tc>
          <w:tcPr>
            <w:tcW w:type="dxa" w:w="3744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Meta inicial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NF-01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Pan e zoom 2D em projeto de referência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P95 de frame até 33 ms durante interação.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NF-02</w:t>
            </w:r>
          </w:p>
        </w:tc>
        <w:tc>
          <w:tcPr>
            <w:tcW w:type="dxa" w:w="518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Comando numérico em peça simples</w:t>
            </w:r>
          </w:p>
        </w:tc>
        <w:tc>
          <w:tcPr>
            <w:tcW w:type="dxa" w:w="374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Feedback local até 100 ms, sem processamento pesado.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NF-03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Salvar documento até 5 MB em rede local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P95 até 2 s, sem contar indisponibilidade da rede.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NF-04</w:t>
            </w:r>
          </w:p>
        </w:tc>
        <w:tc>
          <w:tcPr>
            <w:tcW w:type="dxa" w:w="518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Abrir projeto técnico de referência</w:t>
            </w:r>
          </w:p>
        </w:tc>
        <w:tc>
          <w:tcPr>
            <w:tcW w:type="dxa" w:w="374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Até 5 s com dados e texturas já em cache.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NF-05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Exportar PDF técnico de até 10 pranchas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Até 30 s em tarefa assíncrona.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NF-06</w:t>
            </w:r>
          </w:p>
        </w:tc>
        <w:tc>
          <w:tcPr>
            <w:tcW w:type="dxa" w:w="518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Falha de GPU ou geração 3D</w:t>
            </w:r>
          </w:p>
        </w:tc>
        <w:tc>
          <w:tcPr>
            <w:tcW w:type="dxa" w:w="374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Preservar documento e manter 2D utilizável.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Projeto de referência: 100 peças, 200 elementos e 300 cotas, com limite total inicial de 10 mil segmentos e tamanho de documento de 5 MB. Perfil de ensaio: notebook com 16 GB de RAM, navegador e GPU registrados no relatório. Os números são metas propostas, não resultados já medidos.</w:t>
      </w:r>
    </w:p>
    <w:p>
      <w:pPr>
        <w:pStyle w:val="Heading2"/>
      </w:pPr>
      <w:r>
        <w:t>Continuidade e observabilidade</w:t>
      </w:r>
    </w:p>
    <w:p>
      <w:r>
        <w:rPr>
          <w:b w:val="0"/>
        </w:rPr>
        <w:t>Registrar tempo de comandos, salvamentos, conflitos, erros geométricos e exportações sem gravar conteúdo sensível desnecessário. Trabalhos pesados devem usar worker e limite de recursos. Backup deve incluir banco e artefatos; proposta inicial de RPO de 24 h e RTO de 4 h, condicionada a teste de restauração no ambiente escolhido.</w:t>
      </w:r>
    </w:p>
    <w:p>
      <w:r>
        <w:rPr>
          <w:b w:val="0"/>
        </w:rPr>
        <w:t>A operação sem rede permite apenas recuperar e continuar um rascunho local identificado como pendente. Aprovação, liberação e exportação oficial dependem da confirmação no servidor. Não apresentar conteúdo local como revisão já publicada.</w:t>
      </w:r>
    </w:p>
    <w:p>
      <w:pPr>
        <w:pStyle w:val="Heading1"/>
        <w:pageBreakBefore/>
      </w:pPr>
      <w:r>
        <w:t>16 Critérios de aceite e testes de ponta a ponta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000"/>
      </w:tblGrid>
      <w:tr>
        <w:trPr>
          <w:tblHeader/>
          <w:cantSplit/>
        </w:trPr>
        <w:tc>
          <w:tcPr>
            <w:tcW w:type="dxa" w:w="936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Teste</w:t>
            </w:r>
          </w:p>
        </w:tc>
        <w:tc>
          <w:tcPr>
            <w:tcW w:type="dxa" w:w="9000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Procedimento e resultado esperado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AT-01</w:t>
            </w:r>
          </w:p>
        </w:tc>
        <w:tc>
          <w:tcPr>
            <w:tcW w:type="dxa" w:w="90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Salvar orçamento; adicionar cuba, saia e 45°; aumentar peça; salvar desenho. Orçamento e PDF comercial mantêm valores e itens. Cobre COM-01 a COM-07.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AT-02</w:t>
            </w:r>
          </w:p>
        </w:tc>
        <w:tc>
          <w:tcPr>
            <w:tcW w:type="dxa" w:w="9000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Criar projeto e desenho sem orçamento e sem preços no catálogo. Salvar, reabrir e exportar PDF técnico. Cobre COM-02.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AT-03</w:t>
            </w:r>
          </w:p>
        </w:tc>
        <w:tc>
          <w:tcPr>
            <w:tcW w:type="dxa" w:w="90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Usar bancada e cuba do exemplo da seção 12. Conferir distâncias externas e recorte distintos, inclusive após reabrir. Cobre CP-01 a CP-03.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AT-04</w:t>
            </w:r>
          </w:p>
        </w:tc>
        <w:tc>
          <w:tcPr>
            <w:tcW w:type="dxa" w:w="9000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Mover e girar peça com cuba, cota e saia. Vínculos permanecem corretos. Desfazer e refazer restaura o conjunto. Cobre ED-02, ED-05 e ED-07.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AT-05</w:t>
            </w:r>
          </w:p>
        </w:tc>
        <w:tc>
          <w:tcPr>
            <w:tcW w:type="dxa" w:w="90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Reduzir peça até recorte ultrapassar a borda. Exibir diagnóstico, preservar rascunho e impedir envio para conferência. Cobre seção 8.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AT-06</w:t>
            </w:r>
          </w:p>
        </w:tc>
        <w:tc>
          <w:tcPr>
            <w:tcW w:type="dxa" w:w="9000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Criar peça em L e peça com arco; conferir contornos, áreas e vínculos de borda. Exportar sem omissão. Cobre ED-01 e ED-08.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AT-07</w:t>
            </w:r>
          </w:p>
        </w:tc>
        <w:tc>
          <w:tcPr>
            <w:tcW w:type="dxa" w:w="90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Alternar 2D e 3D após alterar espessura, cuba e rodabanca. Medidas e posições coincidem; recorte é abertura real. Cobre VIS-01 a VIS-03.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AT-08</w:t>
            </w:r>
          </w:p>
        </w:tc>
        <w:tc>
          <w:tcPr>
            <w:tcW w:type="dxa" w:w="9000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Aprovar revisão e iniciar alteração. Revisão anterior permanece intacta; produção não muda de versão automaticamente. Cobre INV-04 e seção 9.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AT-09</w:t>
            </w:r>
          </w:p>
        </w:tc>
        <w:tc>
          <w:tcPr>
            <w:tcW w:type="dxa" w:w="90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Abrir desenho em duas sessões e salvar ambas sobre a mesma versão. Segunda recebe conflito e pode recuperar cópia. Cobre seção 13.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AT-10</w:t>
            </w:r>
          </w:p>
        </w:tc>
        <w:tc>
          <w:tcPr>
            <w:tcW w:type="dxa" w:w="9000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Desconectar durante edição e reconectar. Mostrar pendência, recuperar trabalho e não declarar revisão salva antes da confirmação. Cobre seção 13.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AT-11</w:t>
            </w:r>
          </w:p>
        </w:tc>
        <w:tc>
          <w:tcPr>
            <w:tcW w:type="dxa" w:w="90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Projetista tenta consultar preço ou liberar revisão sem permissão. API bloqueia; export autorizado continua disponível. Cobre INV-05.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AT-12</w:t>
            </w:r>
          </w:p>
        </w:tc>
        <w:tc>
          <w:tcPr>
            <w:tcW w:type="dxa" w:w="9000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Exportar DXF e reabrir em leitor independente. Conferir unidade, dimensões, arcos e recortes. Cobre seção 14.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AT-13</w:t>
            </w:r>
          </w:p>
        </w:tc>
        <w:tc>
          <w:tcPr>
            <w:tcW w:type="dxa" w:w="90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Executar projeto de referência e registrar latências e frames. Verificar metas NF-01 a NF-06 no equipamento declarado.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AT-14</w:t>
            </w:r>
          </w:p>
        </w:tc>
        <w:tc>
          <w:tcPr>
            <w:tcW w:type="dxa" w:w="9000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Restaurar backup em ambiente separado e reabrir revisão aprovada com materiais e exportações. Verificar integridade e meta operacional.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Além desses cenários, cobrir com testes unitários as funções geométricas e a normalização de unidades. Testes de integração validam autorização, invariantes, concorrência e transações. Testes visuais complementam a verificação numérica; não a substituem.</w:t>
      </w:r>
    </w:p>
    <w:p>
      <w:pPr>
        <w:pStyle w:val="Heading1"/>
        <w:pageBreakBefore/>
      </w:pPr>
      <w:r>
        <w:t>17 Plano de implementação e implantação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320"/>
        <w:gridCol w:w="4104"/>
      </w:tblGrid>
      <w:tr>
        <w:trPr>
          <w:tblHeader/>
          <w:cantSplit/>
        </w:trPr>
        <w:tc>
          <w:tcPr>
            <w:tcW w:type="dxa" w:w="1512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Entrega</w:t>
            </w:r>
          </w:p>
        </w:tc>
        <w:tc>
          <w:tcPr>
            <w:tcW w:type="dxa" w:w="4320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Conteúdo</w:t>
            </w:r>
          </w:p>
        </w:tc>
        <w:tc>
          <w:tcPr>
            <w:tcW w:type="dxa" w:w="4104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Condição para avançar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E0 Descoberta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Inventariar código, fluxo comercial, dados, PDF e permissões; registrar linha de base.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Exemplos comerciais reproduzíveis e plano de compatibilidade.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E1 Separação</w:t>
            </w:r>
          </w:p>
        </w:tc>
        <w:tc>
          <w:tcPr>
            <w:tcW w:type="dxa" w:w="4320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Criar domínio técnico, contratos, permissões e persistência independente.</w:t>
            </w:r>
          </w:p>
        </w:tc>
        <w:tc>
          <w:tcPr>
            <w:tcW w:type="dxa" w:w="410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API técnica salva sem preço; testes de autorização e fronteira aprovados.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E2 Editor 2D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Peças, cotas, cubas, recortes, relações, comandos e autosave.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AT-03, AT-04, AT-09 e AT-10 aprovados; diagnósticos geométricos corretos.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E3 Revisões</w:t>
            </w:r>
          </w:p>
        </w:tc>
        <w:tc>
          <w:tcPr>
            <w:tcW w:type="dxa" w:w="4320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Conferência, liberação, vínculos e PDF técnico.</w:t>
            </w:r>
          </w:p>
        </w:tc>
        <w:tc>
          <w:tcPr>
            <w:tcW w:type="dxa" w:w="410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AT-01, AT-02, AT-05, AT-08 e AT-11 aprovados; PDF conferido pela Inova.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E4 Geometria P1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Arcos, conjuntos e componentes verticais; prova dos adaptadores gráficos.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AT-06 aprovado e limites geométricos documentados.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E5 Apresentação P1</w:t>
            </w:r>
          </w:p>
        </w:tc>
        <w:tc>
          <w:tcPr>
            <w:tcW w:type="dxa" w:w="4320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3D, materiais visuais, vistas salvas e imagem para cliente.</w:t>
            </w:r>
          </w:p>
        </w:tc>
        <w:tc>
          <w:tcPr>
            <w:tcW w:type="dxa" w:w="410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AT-07 aprovado e metas de interação atendidas.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E6 Intercâmbio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DXF delimitado, recuperação, desempenho e preparação operacional.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AT-12 a AT-14 aprovados; restauração demonstrada.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Introdução gradual</w:t>
      </w:r>
    </w:p>
    <w:p>
      <w:r>
        <w:rPr>
          <w:b w:val="0"/>
        </w:rPr>
        <w:t>Ativar o editor por configuração e grupo piloto. Começar com projetos de teste que representem peças simples, bancada em L, cozinha com várias peças e peça curva. Validar com quem atende, desenha e fabrica antes de liberar para toda a operação.</w:t>
      </w:r>
    </w:p>
    <w:p>
      <w:pPr>
        <w:pStyle w:val="Heading2"/>
      </w:pPr>
      <w:r>
        <w:t>Tratamento de dados anteriores</w:t>
      </w:r>
    </w:p>
    <w:p>
      <w:r>
        <w:rPr>
          <w:b w:val="0"/>
        </w:rPr>
        <w:t>Caso existam dados técnicos embutidos em itens comerciais, criar cópias técnicas por migração idempotente, registrando origem e relatório de inconsistências. Nunca recalcular ou substituir snapshots financeiros durante a migração. Se esses dados não existirem, iniciar o domínio técnico vazio.</w:t>
      </w:r>
    </w:p>
    <w:p>
      <w:pPr>
        <w:pStyle w:val="Heading2"/>
      </w:pPr>
      <w:r>
        <w:t>Rollback e preservação</w:t>
      </w:r>
    </w:p>
    <w:p>
      <w:r>
        <w:rPr>
          <w:b w:val="0"/>
        </w:rPr>
        <w:t>A desativação do editor deve manter o orçamento utilizável e conservar os desenhos já salvos para consulta e recuperação. Migrations iniciais devem ser aditivas. Não remover campos antigos antes de reconciliar dados, validar backups e confirmar que a versão anterior pode operar sem corrupção.</w:t>
      </w:r>
    </w:p>
    <w:p>
      <w:r>
        <w:rPr>
          <w:b w:val="0"/>
        </w:rPr>
        <w:t>Estimativas de prazo e esforço devem ser feitas após E0 e a prova geométrica. Não usar esta divisão como promessa de duração sem examinar o repositório e o volume real de implementação.</w:t>
      </w:r>
    </w:p>
    <w:p>
      <w:pPr>
        <w:pStyle w:val="Heading1"/>
        <w:pageBreakBefore/>
      </w:pPr>
      <w:r>
        <w:t>18 Decisões riscos e fechamento do escopo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8712"/>
      </w:tblGrid>
      <w:tr>
        <w:trPr>
          <w:tblHeader/>
          <w:cantSplit/>
        </w:trPr>
        <w:tc>
          <w:tcPr>
            <w:tcW w:type="dxa" w:w="1224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Decisão</w:t>
            </w:r>
          </w:p>
        </w:tc>
        <w:tc>
          <w:tcPr>
            <w:tcW w:type="dxa" w:w="8712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Diretriz para implementação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ADR-01</w:t>
            </w:r>
          </w:p>
        </w:tc>
        <w:tc>
          <w:tcPr>
            <w:tcW w:type="dxa" w:w="87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Monólito modular com fronteira explícita entre comercial e técnico.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ADR-02</w:t>
            </w:r>
          </w:p>
        </w:tc>
        <w:tc>
          <w:tcPr>
            <w:tcW w:type="dxa" w:w="8712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Documento geométrico versionado como fonte comum de 2D e 3D.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ADR-03</w:t>
            </w:r>
          </w:p>
        </w:tc>
        <w:tc>
          <w:tcPr>
            <w:tcW w:type="dxa" w:w="87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JSONB canônico e projeções derivadas; evitar duplicação autoritativa.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ADR-04</w:t>
            </w:r>
          </w:p>
        </w:tc>
        <w:tc>
          <w:tcPr>
            <w:tcW w:type="dxa" w:w="8712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Revisões técnicas imutáveis com decisões e liberação auditáveis.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ADR-05</w:t>
            </w:r>
          </w:p>
        </w:tc>
        <w:tc>
          <w:tcPr>
            <w:tcW w:type="dxa" w:w="87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Ausência de sincronização automática de medidas ou preços entre módulos.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ADR-06</w:t>
            </w:r>
          </w:p>
        </w:tc>
        <w:tc>
          <w:tcPr>
            <w:tcW w:type="dxa" w:w="8712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0"/>
              </w:rPr>
              <w:t>Adaptadores gráficos escolhidos por prova técnica e contrato de exportação limitado.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Riscos e resposta prevista</w:t>
      </w:r>
    </w:p>
    <w:p>
      <w:pPr>
        <w:pStyle w:val="ListBullet"/>
        <w:spacing w:after="80"/>
      </w:pPr>
      <w:r>
        <w:t>Complexidade geométrica: começar com segmentos, restrições simples e componentes definidos; introduzir curvas com testes numéricos e limite de escopo.</w:t>
      </w:r>
    </w:p>
    <w:p>
      <w:pPr>
        <w:pStyle w:val="ListBullet"/>
        <w:spacing w:after="80"/>
      </w:pPr>
      <w:r>
        <w:t>Divergência entre proposta comercial e desenho: vincular revisões e exigir conferência explícita após alterações técnicas.</w:t>
      </w:r>
    </w:p>
    <w:p>
      <w:pPr>
        <w:pStyle w:val="ListBullet"/>
        <w:spacing w:after="80"/>
      </w:pPr>
      <w:r>
        <w:t>Perda de trabalho: autosave, cópia local pendente, controle de concorrência e teste de recuperação.</w:t>
      </w:r>
    </w:p>
    <w:p>
      <w:pPr>
        <w:pStyle w:val="ListBullet"/>
        <w:spacing w:after="80"/>
      </w:pPr>
      <w:r>
        <w:t>3D lento ou incorreto: reconstrução incremental, limites de cena e comparação dimensional com a geometria canônica.</w:t>
      </w:r>
    </w:p>
    <w:p>
      <w:pPr>
        <w:pStyle w:val="ListBullet"/>
        <w:spacing w:after="80"/>
      </w:pPr>
      <w:r>
        <w:t>Compatibilidade CAD parcial: declarar entidades suportadas, testar em leitor independente e relatar conversões não suportadas.</w:t>
      </w:r>
    </w:p>
    <w:p>
      <w:pPr>
        <w:pStyle w:val="ListBullet"/>
        <w:spacing w:after="80"/>
      </w:pPr>
      <w:r>
        <w:t>Documento bonito mas insuficiente para fabricação: exigir cotas, revisão identificada, conferência e parâmetros técnicos definidos pela Inova.</w:t>
      </w:r>
    </w:p>
    <w:p>
      <w:pPr>
        <w:pStyle w:val="Heading2"/>
      </w:pPr>
      <w:r>
        <w:t>Parâmetros a validar sem impedir a especificação</w:t>
      </w:r>
    </w:p>
    <w:p>
      <w:r>
        <w:rPr>
          <w:b w:val="0"/>
        </w:rPr>
        <w:t>Antes de produção, a Inova deve definir responsáveis por aprovação, folgas e tolerâncias de fabricação, componentes iniciais de catálogo e pranchas técnicas desejadas. A equipe técnica deve confirmar ambiente de implantação, ferramentas gráficas, subconjunto DXF, política de backup e limites medidos de desempenho.</w:t>
      </w:r>
    </w:p>
    <w:p>
      <w:pPr>
        <w:pStyle w:val="Heading2"/>
      </w:pPr>
      <w:r>
        <w:t>Definição de entrega concluída</w:t>
      </w:r>
    </w:p>
    <w:p>
      <w:r>
        <w:rPr>
          <w:b w:val="0"/>
        </w:rPr>
        <w:t>A evolução principal está concluída quando P0 e P1 atendem aos critérios de aceite, o orçamento preserva seu comportamento, os desenhos podem ser salvos e reabertos sem perda, o 3D coincide com o 2D e a produção recebe a revisão correta. A homologação deve registrar resultados, restrições conhecidas e a aprovação funcional da Inova.</w:t>
      </w:r>
    </w:p>
    <w:sectPr w:rsidR="00FC693F" w:rsidRPr="0006063C" w:rsidSect="00034616">
      <w:footerReference w:type="default" r:id="rId9"/>
      <w:pgSz w:w="12240" w:h="15840"/>
      <w:pgMar w:top="1037" w:right="1152" w:bottom="979" w:left="1152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INOVA • SDD 2.0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SDD Inova Marmoraria orçamento e editor técnico</dc:title>
  <dc:subject>Proposta de arquitetura e requisitos para orçamento independente e desenho técnico 2D e 3D</dc:subject>
  <dc:creator>Inova Marmoraria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