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Registro de decisiones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07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Consolidar las decisiones técnicas tomadas (reconstruidas a partir de la evidencia) y las decisiones de negocio que siguen pendientes.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[OBS] El repositorio no contiene actas de decisión firmadas. Las decisiones de arquitectura se reconstruyen del código, los commits y la documentación previa; su estado es "Aceptada (inferida del código)" y su aprobación formal está PENDIENTE. El detalle (contexto, alternativas, consecuencias) está en </w:t>
      </w:r>
      <w:hyperlink w:history="1" r:id="rIdc4yukfetvhklodzka7mzr">
        <w:r>
          <w:rPr>
            <w:color w:val="1D4ED8"/>
            <w:u w:val="single"/>
          </w:rPr>
          <w:t xml:space="preserve">03_DISENO/11_DECISIONES_DE_ARQUITECTURA</w:t>
        </w:r>
      </w:hyperlink>
      <w:r>
        <w:t xml:space="preserve">.</w:t>
      </w:r>
    </w:p>
    <w:p>
      <w:pPr>
        <w:pStyle w:val="Heading2"/>
        <w:keepNext/>
      </w:pPr>
      <w:r>
        <w:t xml:space="preserve">Decisiones de arquitectura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4208"/>
        <w:gridCol w:w="1756"/>
        <w:gridCol w:w="3940"/>
        <w:gridCol w:w="1885"/>
      </w:tblGrid>
      <w:tr>
        <w:trPr>
          <w:tblHeader/>
        </w:trP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Decisión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 de evidencia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 principal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001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Monolito Node.js/Express que sirve API y frontend estático del mismo origen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backend/src/app.js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express.static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002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gestionado (Clever Cloud) con migraciones automáticas al arrancar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backend/src/migraciones/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003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HS256 2 h + refresh rotativo 7 días + MFA por correo; estado leído de BD en cada petición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/ 2026-10-15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backend/src/routes/auth.js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004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centralizada con permisos granulares y superadministrador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backend/src/autorizacion.js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005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 AES-256-GCM con AAD y versión; índices ciegos HMAC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/ 2026-10-15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backend/src/crypto.js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backend/src/seguridad/cifradoCampos.js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006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solo orquesta y notifica; las decisiones están en el backend; outbox firmado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backend/src/automationOutbox.js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docs/ARQUITECTURA_ACTUAL.md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007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directo con nodemailer; W5 y W9 dejan de usarse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0c7c0a6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backend/src/seguridad/correo.js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008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contra padrón cifrado con aprobación humana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commits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a6f7a8b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6716d38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009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 de pago mock firmado; pasarela real diferida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antes de 2026-10-13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backend/src/paymentProvider.js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010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propio en memoria (costo cero)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backend/src/seguridad/captcha.js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011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Pool de conexiones limitado (3 + 1) por el plan gratuito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  <w:tr>
        <w:tc>
          <w:tcPr>
            <w:tcW w:type="dxa" w:w="1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012</w:t>
            </w:r>
          </w:p>
        </w:tc>
        <w:tc>
          <w:tcPr>
            <w:tcW w:type="dxa" w:w="4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diferida al momento de la compra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3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002_verificacion_en_compra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Aceptada (inferida)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Decisiones de diseño documentadas previamente [OBS]</w:t>
      </w:r>
    </w:p>
    <w:p>
      <w:pPr>
        <w:spacing w:after="120"/>
      </w:pPr>
      <w:r>
        <w:t xml:space="preserve">Tomadas durante el desarrollo y registradas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 §7; requieren ratificación del interesado: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7"/>
        <w:gridCol w:w="3633"/>
      </w:tblGrid>
      <w:tr>
        <w:trPr>
          <w:tblHeader/>
        </w:trPr>
        <w:tc>
          <w:tcPr>
            <w:tcW w:type="dxa" w:w="93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Decisión</w:t>
            </w:r>
          </w:p>
        </w:tc>
        <w:tc>
          <w:tcPr>
            <w:tcW w:type="dxa" w:w="36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93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NIT del padrón no es único (varios funcionarios comparten el NIT de su entidad); la unicidad está en el correo</w:t>
            </w:r>
          </w:p>
        </w:tc>
        <w:tc>
          <w:tcPr>
            <w:tcW w:type="dxa" w:w="36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§7</w:t>
            </w:r>
          </w:p>
        </w:tc>
      </w:tr>
      <w:tr>
        <w:tc>
          <w:tcPr>
            <w:tcW w:type="dxa" w:w="93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cuentas existentes antes de la migración 003 quedan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activa</w:t>
            </w:r>
          </w:p>
        </w:tc>
        <w:tc>
          <w:tcPr>
            <w:tcW w:type="dxa" w:w="36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</w:t>
            </w:r>
          </w:p>
        </w:tc>
      </w:tr>
      <w:tr>
        <w:tc>
          <w:tcPr>
            <w:tcW w:type="dxa" w:w="93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Una cuenta rechazada puede volver a solicitar</w:t>
            </w:r>
          </w:p>
        </w:tc>
        <w:tc>
          <w:tcPr>
            <w:tcW w:type="dxa" w:w="36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</w:t>
            </w:r>
          </w:p>
        </w:tc>
      </w:tr>
      <w:tr>
        <w:tc>
          <w:tcPr>
            <w:tcW w:type="dxa" w:w="93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laboratorio sin SMTP el correo se imprime en consola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[correo-laboratorio]</w:t>
            </w:r>
            <w:r>
              <w:rPr>
                <w:sz w:val="17"/>
                <w:szCs w:val="17"/>
              </w:rPr>
              <w:t xml:space="preserve">); en producción es error</w:t>
            </w:r>
          </w:p>
        </w:tc>
        <w:tc>
          <w:tcPr>
            <w:tcW w:type="dxa" w:w="36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</w:t>
            </w:r>
          </w:p>
        </w:tc>
      </w:tr>
      <w:tr>
        <w:tc>
          <w:tcPr>
            <w:tcW w:type="dxa" w:w="93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firma de W12 no cubre el campo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resultado</w:t>
            </w:r>
          </w:p>
        </w:tc>
        <w:tc>
          <w:tcPr>
            <w:tcW w:type="dxa" w:w="36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 §4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Decisiones pendientes del interesado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5"/>
        <w:gridCol w:w="3827"/>
        <w:gridCol w:w="2902"/>
        <w:gridCol w:w="1895"/>
        <w:gridCol w:w="3151"/>
      </w:tblGrid>
      <w:tr>
        <w:trPr>
          <w:tblHeader/>
        </w:trP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Decisión requerida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Opciones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Impacto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01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¿W11 debe dejar de enviar a n8n el NIT de la entidad?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(consulta a RUES/CHIP) / eliminar (la verificación de entidad pasa a manual o al padrón)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en la compra; minimización de datos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014,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§4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02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Tratamiento de las cuentas heredadas (borrador tras la migración 001; activas tras la 003)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activas / marcarlas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para revisión / aprobar desde el panel / revertir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 de clientes existentes en la base real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docs/AUDITORIA_TECNICA.md</w:t>
            </w:r>
            <w:r>
              <w:rPr>
                <w:sz w:val="17"/>
                <w:szCs w:val="17"/>
              </w:rPr>
              <w:t xml:space="preserve"> §7,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§7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03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Fusionar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  <w:r>
              <w:rPr>
                <w:sz w:val="17"/>
                <w:szCs w:val="17"/>
              </w:rPr>
              <w:t xml:space="preserve"> y etiquetar versiones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Pull request con revisión / mantener rama separada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Línea base oficial del código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018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04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jurídica (aviso de privacidad, plazos de conservación, régimen de productos restringidos, RNBD)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Contratar/asignar asesoría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Requisito para operar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docs/TRATAMIENTO_DATOS_PERSONALES.md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05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Infraestructura de producción (hosting del backend, HTTPS, SMTP, gestor de secretos)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opciones evaluadas en el repositorio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Despliegue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§8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06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proveedor seleccionado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</w:p>
        </w:tc>
      </w:tr>
      <w:tr>
        <w:tc>
          <w:tcPr>
            <w:tcW w:type="dxa" w:w="1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</w:t>
              <w:noBreakHyphen/>
              <w:t xml:space="preserve">P</w:t>
              <w:noBreakHyphen/>
              <w:t xml:space="preserve">07</w:t>
            </w:r>
          </w:p>
        </w:tc>
        <w:tc>
          <w:tcPr>
            <w:tcW w:type="dxa" w:w="3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Actualizar nodemailer a v10 (cambio mayor)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Actualizar con pruebas / reemplazar</w:t>
            </w:r>
          </w:p>
        </w:tc>
        <w:tc>
          <w:tcPr>
            <w:tcW w:type="dxa" w:w="1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</w:t>
            </w:r>
            <w:r>
              <w:rPr>
                <w:sz w:val="17"/>
                <w:szCs w:val="17"/>
              </w:rPr>
              <w:t xml:space="preserve"> 2026-10-16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Plantilla para nuevas decisiones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98"/>
        <w:gridCol w:w="4962"/>
      </w:tblGrid>
      <w:tr>
        <w:trPr>
          <w:tblHeader/>
        </w:trP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0NN o DEC-NN</w:t>
            </w:r>
          </w:p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AAAA-MM-DD</w:t>
            </w:r>
          </w:p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Contexto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Decisión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Alternativas consideradas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Consecuencias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7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por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(nombre y rol)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i7xhlwow2qoxyyzu8z2x">
        <w:r>
          <w:rPr>
            <w:color w:val="1D4ED8"/>
            <w:u w:val="single"/>
          </w:rPr>
          <w:t xml:space="preserve">Decisiones de arquitectura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dj8iu-kfnu6igzlscxem">
        <w:r>
          <w:rPr>
            <w:color w:val="1D4ED8"/>
            <w:u w:val="single"/>
          </w:rPr>
          <w:t xml:space="preserve">Registro de cambios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i-lj-ogu2xxqej1qvf3i">
        <w:r>
          <w:rPr>
            <w:color w:val="1D4ED8"/>
            <w:u w:val="single"/>
          </w:rPr>
          <w:t xml:space="preserve">docs/REGISTRO_VERIFICADO.md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Registro de decisiones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4yukfetvhklodzka7mzr" Type="http://schemas.openxmlformats.org/officeDocument/2006/relationships/hyperlink" Target="../03_DISENO/11_DECISIONES_DE_ARQUITECTURA/README.docx" TargetMode="External"/><Relationship Id="rIdoi7xhlwow2qoxyyzu8z2x" Type="http://schemas.openxmlformats.org/officeDocument/2006/relationships/hyperlink" Target="../03_DISENO/11_DECISIONES_DE_ARQUITECTURA/README.docx" TargetMode="External"/><Relationship Id="rIdgdj8iu-kfnu6igzlscxem" Type="http://schemas.openxmlformats.org/officeDocument/2006/relationships/hyperlink" Target="08_REGISTRO_DE_CAMBIOS.docx" TargetMode="External"/><Relationship Id="rIdli-lj-ogu2xxqej1qvf3i" Type="http://schemas.openxmlformats.org/officeDocument/2006/relationships/hyperlink" Target="../docs/REGISTRO_VERIFICADO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decisiones</dc:title>
  <dc:creator>Suministros Institucionales — documentación del proyecto</dc:creator>
  <dc:description>Generado a partir de 00_GESTION_DEL_PROYECTO/07_REGISTRO_DE_DECISIONES.md</dc:description>
  <cp:lastModifiedBy>Un-named</cp:lastModifiedBy>
  <cp:revision>1</cp:revision>
  <dcterms:created xsi:type="dcterms:W3CDTF">2026-10-16T16:29:38.031Z</dcterms:created>
  <dcterms:modified xsi:type="dcterms:W3CDTF">2026-10-16T16:29:38.031Z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