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Descripción del problema y contexto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02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Describir el problema de negocio que el software resuelve y el contexto en que opera, a partir de lo que el código y la documentación previa permiten demostrar.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El problema se reconstruye desde la implementación y los documentos del repositorio. </w:t>
      </w:r>
      <w:r>
        <w:rPr>
          <w:b/>
          <w:bCs/>
        </w:rPr>
        <w:t xml:space="preserve">No existen</w:t>
      </w:r>
      <w:r>
        <w:t xml:space="preserve"> en el repositorio entrevistas, actas ni un documento de necesidades firmado por un cliente; por eso el planteamiento es </w:t>
      </w:r>
      <w:r>
        <w:rPr>
          <w:b/>
          <w:bCs/>
        </w:rPr>
        <w:t xml:space="preserve">[INF]</w:t>
      </w:r>
      <w:r>
        <w:t xml:space="preserve"> salvo donde se indica </w:t>
      </w:r>
      <w:r>
        <w:rPr>
          <w:b/>
          <w:bCs/>
        </w:rPr>
        <w:t xml:space="preserve">[OBS]</w:t>
      </w:r>
      <w:r>
        <w:t xml:space="preserve">.</w:t>
      </w:r>
    </w:p>
    <w:p>
      <w:pPr>
        <w:pStyle w:val="Heading2"/>
        <w:keepNext/>
      </w:pPr>
      <w:r>
        <w:t xml:space="preserve">1. Problema</w:t>
      </w:r>
    </w:p>
    <w:p>
      <w:pPr>
        <w:spacing w:after="120"/>
      </w:pPr>
      <w:r>
        <w:rPr>
          <w:b/>
          <w:bCs/>
        </w:rPr>
        <w:t xml:space="preserve">[INF]</w:t>
      </w:r>
      <w:r>
        <w:t xml:space="preserve"> Una empresa proveedora necesita vender suministros (dotación, protección personal, herramientas, comunicaciones, papelería, equipos de rescate) a instituciones públicas y de seguridad de Colombia, con tres dificultades: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Quién compra.</w:t>
      </w:r>
      <w:r>
        <w:t xml:space="preserve"> Parte del catálogo es sensible (chalecos y placas balísticas, grilletes, fundas;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restringido = TRUE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backend/src/db.js</w:t>
      </w:r>
      <w:r>
        <w:t xml:space="preserve">). Vender a cualquiera que se registre es un riesgo. </w:t>
      </w:r>
      <w:r>
        <w:rPr>
          <w:b/>
          <w:bCs/>
        </w:rPr>
        <w:t xml:space="preserve">[OBS]</w:t>
      </w:r>
      <w:r>
        <w:t xml:space="preserve"> La auditoría previa (H1–H3 en </w:t>
      </w:r>
      <w:hyperlink w:history="1" r:id="rIdhg_juga7gx7t690fhebbq">
        <w:r>
          <w:rPr>
            <w:color w:val="1D4ED8"/>
            <w:u w:val="single"/>
          </w:rPr>
          <w:t xml:space="preserve">docs/AUDITORIA_TECNICA.md</w:t>
        </w:r>
      </w:hyperlink>
      <w:r>
        <w:t xml:space="preserve">) encontró que la institución se deducía del dominio del correo y que los visitantes veían productos restringidos.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Qué ve y qué puede comprar cada institución.</w:t>
      </w:r>
      <w:r>
        <w:t xml:space="preserve"> Cada tipo de institución tiene su catálogo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productos.institucion_id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productos_elegibilidad</w:t>
      </w:r>
      <w:r>
        <w:t xml:space="preserve">) y hay productos de uso general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institucion_id = 'general'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Protección de datos personales.</w:t>
      </w:r>
      <w:r>
        <w:t xml:space="preserve"> Se manejan nombres, correos, NIT, documentos de identidad y evidencia documental, sujetos a la Ley 1581 de 2012 (</w:t>
      </w:r>
      <w:hyperlink w:history="1" r:id="rIdifnglbmiislkdwjrmbngr">
        <w:r>
          <w:rPr>
            <w:color w:val="1D4ED8"/>
            <w:u w:val="single"/>
          </w:rPr>
          <w:t xml:space="preserve">docs/TRATAMIENTO_DATOS_PERSONALES.md</w:t>
        </w:r>
      </w:hyperlink>
      <w:r>
        <w:t xml:space="preserve">).</w:t>
      </w:r>
    </w:p>
    <w:p>
      <w:pPr>
        <w:pStyle w:val="Heading2"/>
        <w:keepNext/>
      </w:pPr>
      <w:r>
        <w:t xml:space="preserve">2. Respuesta implementada (resumen)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16"/>
        <w:gridCol w:w="3960"/>
        <w:gridCol w:w="2884"/>
      </w:tblGrid>
      <w:tr>
        <w:trPr>
          <w:tblHeader/>
        </w:trPr>
        <w:tc>
          <w:tcPr>
            <w:tcW w:type="dxa" w:w="25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Problema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Respuesta en el código</w:t>
            </w:r>
          </w:p>
        </w:tc>
        <w:tc>
          <w:tcPr>
            <w:tcW w:type="dxa" w:w="28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25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Suplantación al registrarse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contra padrón cifrado (terna NIT + nombre + institución) y aprobación humana obligatoria (RN</w:t>
              <w:noBreakHyphen/>
              <w:t xml:space="preserve">001, RN</w:t>
              <w:noBreakHyphen/>
              <w:t xml:space="preserve">003)</w:t>
            </w:r>
          </w:p>
        </w:tc>
        <w:tc>
          <w:tcPr>
            <w:tcW w:type="dxa" w:w="28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(REQ</w:t>
              <w:noBreakHyphen/>
              <w:t xml:space="preserve">F</w:t>
              <w:noBreakHyphen/>
              <w:t xml:space="preserve">001, 002, 004)</w:t>
            </w:r>
          </w:p>
        </w:tc>
      </w:tr>
      <w:tr>
        <w:tc>
          <w:tcPr>
            <w:tcW w:type="dxa" w:w="25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Acceso a restringidos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institucional con doble comprobación y autorización por compra (RN</w:t>
              <w:noBreakHyphen/>
              <w:t xml:space="preserve">009, RN</w:t>
              <w:noBreakHyphen/>
              <w:t xml:space="preserve">011)</w:t>
            </w:r>
          </w:p>
        </w:tc>
        <w:tc>
          <w:tcPr>
            <w:tcW w:type="dxa" w:w="28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 de extremo a extremo (REQ</w:t>
              <w:noBreakHyphen/>
              <w:t xml:space="preserve">F</w:t>
              <w:noBreakHyphen/>
              <w:t xml:space="preserve">027 a 029)</w:t>
            </w:r>
          </w:p>
        </w:tc>
      </w:tr>
      <w:tr>
        <w:tc>
          <w:tcPr>
            <w:tcW w:type="dxa" w:w="25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Segmentación del catálogo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evaluarProducto()</w:t>
            </w:r>
            <w:r>
              <w:rPr>
                <w:sz w:val="17"/>
                <w:szCs w:val="17"/>
              </w:rPr>
              <w:t xml:space="preserve"> decide visibilidad, nivel y compra en cada petición (RN</w:t>
              <w:noBreakHyphen/>
              <w:t xml:space="preserve">007)</w:t>
            </w:r>
          </w:p>
        </w:tc>
        <w:tc>
          <w:tcPr>
            <w:tcW w:type="dxa" w:w="28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 en reglas (REQ</w:t>
              <w:noBreakHyphen/>
              <w:t xml:space="preserve">F</w:t>
              <w:noBreakHyphen/>
              <w:t xml:space="preserve">014)</w:t>
            </w:r>
          </w:p>
        </w:tc>
      </w:tr>
      <w:tr>
        <w:tc>
          <w:tcPr>
            <w:tcW w:type="dxa" w:w="25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Robo de credenciales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MFA por correo, sesión revocable (RN</w:t>
              <w:noBreakHyphen/>
              <w:t xml:space="preserve">005, REQ</w:t>
              <w:noBreakHyphen/>
              <w:t xml:space="preserve">F</w:t>
              <w:noBreakHyphen/>
              <w:t xml:space="preserve">007)</w:t>
            </w:r>
          </w:p>
        </w:tc>
        <w:tc>
          <w:tcPr>
            <w:tcW w:type="dxa" w:w="28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</w:tr>
      <w:tr>
        <w:tc>
          <w:tcPr>
            <w:tcW w:type="dxa" w:w="25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Confidencialidad de datos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Cifrado por campo e índices ciegos (REQ</w:t>
              <w:noBreakHyphen/>
              <w:t xml:space="preserve">NF</w:t>
              <w:noBreakHyphen/>
              <w:t xml:space="preserve">001)</w:t>
            </w:r>
          </w:p>
        </w:tc>
        <w:tc>
          <w:tcPr>
            <w:tcW w:type="dxa" w:w="28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 Y VERIFICADO</w:t>
            </w:r>
          </w:p>
        </w:tc>
      </w:tr>
      <w:tr>
        <w:tc>
          <w:tcPr>
            <w:tcW w:type="dxa" w:w="25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Venta y cobro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Checkout con reserva de inventario y pago mock (REQ</w:t>
              <w:noBreakHyphen/>
              <w:t xml:space="preserve">F</w:t>
              <w:noBreakHyphen/>
              <w:t xml:space="preserve">019, 021)</w:t>
            </w:r>
          </w:p>
        </w:tc>
        <w:tc>
          <w:tcPr>
            <w:tcW w:type="dxa" w:w="28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IMPLEMENTADO, NO VERIFICADO; pasarela real PENDIENTE (REQ</w:t>
              <w:noBreakHyphen/>
              <w:t xml:space="preserve">F</w:t>
              <w:noBreakHyphen/>
              <w:t xml:space="preserve">040)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Contexto</w:t>
      </w:r>
    </w:p>
    <w:p>
      <w:pPr>
        <w:pStyle w:val="Heading3"/>
        <w:keepNext/>
      </w:pPr>
      <w:r>
        <w:t xml:space="preserve">3.1 Contexto institucional y normativo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[OBS]</w:t>
      </w:r>
      <w:r>
        <w:t xml:space="preserve"> Tipos de institución cerrados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backend/src/tenancy.js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backend/src/registroInstitucional.js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policia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defensa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bomberos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socorro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penitenciario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corporativo</w:t>
      </w:r>
      <w:r>
        <w:t xml:space="preserve"> (y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general</w:t>
      </w:r>
      <w:r>
        <w:t xml:space="preserve"> como ámbito de productos).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[OBS]</w:t>
      </w:r>
      <w:r>
        <w:t xml:space="preserve"> Referencias normativas recopiladas en </w:t>
      </w:r>
      <w:hyperlink w:history="1" r:id="rIdzxr0xt39qawv0h1e1bet9">
        <w:r>
          <w:rPr>
            <w:color w:val="1D4ED8"/>
            <w:u w:val="single"/>
          </w:rPr>
          <w:t xml:space="preserve">docs/MATRIZ_NORMATIVA_COLOMBIA.md</w:t>
        </w:r>
      </w:hyperlink>
      <w:r>
        <w:t xml:space="preserve"> y </w:t>
      </w:r>
      <w:hyperlink w:history="1" r:id="rIdzeevfacytwdxrsxyz0y58">
        <w:r>
          <w:rPr>
            <w:color w:val="1D4ED8"/>
            <w:u w:val="single"/>
          </w:rPr>
          <w:t xml:space="preserve">docs/MATRIZ_ELEGIBILIDAD_PRODUCTOS.md</w:t>
        </w:r>
      </w:hyperlink>
      <w:r>
        <w:t xml:space="preserve">; la página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frontend/leyes.html</w:t>
      </w:r>
      <w:r>
        <w:t xml:space="preserve"> advierte que su contenido es informativo. La validación jurídica está </w:t>
      </w:r>
      <w:r>
        <w:rPr>
          <w:b/>
          <w:bCs/>
        </w:rPr>
        <w:t xml:space="preserve">PENDIENTE</w:t>
      </w:r>
      <w:r>
        <w:t xml:space="preserve"> (RSK</w:t>
        <w:noBreakHyphen/>
        <w:t xml:space="preserve">010).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[OBS]</w:t>
      </w:r>
      <w:r>
        <w:t xml:space="preserve"> No hay acceso a fuentes oficiales de pertenencia (SIGEP, Registraduría); ver </w:t>
      </w:r>
      <w:hyperlink w:history="1" r:id="rId01pl3ctt3g2jsyelauw9a">
        <w:r>
          <w:rPr>
            <w:color w:val="1D4ED8"/>
            <w:u w:val="single"/>
          </w:rPr>
          <w:t xml:space="preserve">docs/VIABILIDAD_SIGEP_DATOS_ABIERTOS.md</w:t>
        </w:r>
      </w:hyperlink>
      <w:r>
        <w:t xml:space="preserve">. El padrón de laboratorio (tabla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personas_institucionales_prueba</w:t>
      </w:r>
      <w:r>
        <w:t xml:space="preserve">) reemplaza a la fuente del Estado.</w:t>
      </w:r>
    </w:p>
    <w:p>
      <w:pPr>
        <w:pStyle w:val="Heading3"/>
        <w:keepNext/>
      </w:pPr>
      <w:r>
        <w:t xml:space="preserve">3.2 Contexto técnico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[OBS]</w:t>
      </w:r>
      <w:r>
        <w:t xml:space="preserve"> Laboratorio de costo cero: MySQL en plan gratuito (5 conexiones), Mailpit para correo, captcha propio, n8n autoalojado en Docker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n8n/docker-compose.yml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[OBS]</w:t>
      </w:r>
      <w:r>
        <w:t xml:space="preserve"> Latencia de ~150 ms por viaje a MySQL desde el equipo del laboratorio (medición del 2026-10-15 en </w:t>
      </w:r>
      <w:hyperlink w:history="1" r:id="rIduqwifd_xfb4q2lhu-v3ha">
        <w:r>
          <w:rPr>
            <w:color w:val="1D4ED8"/>
            <w:u w:val="single"/>
          </w:rPr>
          <w:t xml:space="preserve">docs/REGISTRO_VERIFICADO.md</w:t>
        </w:r>
      </w:hyperlink>
      <w:r>
        <w:t xml:space="preserve"> §5; no reproducida).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[OBS]</w:t>
      </w:r>
      <w:r>
        <w:t xml:space="preserve"> Historia corta: 23 commits entre 2026-10-11 y 2026-10-15; el trabajo más reciente está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feature/verificacion-seguridad</w:t>
      </w:r>
      <w:r>
        <w:t xml:space="preserve">, sin fusionar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main</w:t>
      </w:r>
      <w:r>
        <w:t xml:space="preserve"> (BUG</w:t>
        <w:noBreakHyphen/>
        <w:t xml:space="preserve">018).</w:t>
      </w:r>
    </w:p>
    <w:p>
      <w:pPr>
        <w:pStyle w:val="Heading3"/>
        <w:keepNext/>
      </w:pPr>
      <w:r>
        <w:t xml:space="preserve">3.3 Mercado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El repositorio contiene análisis de mercado B2G y catálogos de referencia (</w:t>
      </w:r>
      <w:hyperlink w:history="1" r:id="rIdn2up9pnbkkmwcfn8bj4uf">
        <w:r>
          <w:rPr>
            <w:color w:val="1D4ED8"/>
            <w:u w:val="single"/>
          </w:rPr>
          <w:t xml:space="preserve">docs/inteligencia-mercado-b2g-colombia.md</w:t>
        </w:r>
      </w:hyperlink>
      <w:r>
        <w:t xml:space="preserve">, </w:t>
      </w:r>
      <w:hyperlink w:history="1" r:id="rIdg_3prtqff439tkvu37xnd">
        <w:r>
          <w:rPr>
            <w:color w:val="1D4ED8"/>
            <w:u w:val="single"/>
          </w:rPr>
          <w:t xml:space="preserve">docs/catalogos-institucionales.md</w:t>
        </w:r>
      </w:hyperlink>
      <w:r>
        <w:t xml:space="preserve">). Las referencias institucionales sembradas tienen precio 0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metadatos.cotizacion_requerida = true</w:t>
      </w:r>
      <w:r>
        <w:t xml:space="preserve">, es decir, se cotizan y no se compran directamente (motivo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cotizacion_requerida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evaluarProducto</w:t>
      </w:r>
      <w:r>
        <w:t xml:space="preserve">).</w:t>
      </w:r>
    </w:p>
    <w:p>
      <w:pPr>
        <w:pStyle w:val="Heading2"/>
        <w:keepNext/>
      </w:pPr>
      <w:r>
        <w:t xml:space="preserve">4. Fuera del problema demostrado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Facturación electrónica DIAN: </w:t>
      </w:r>
      <w:r>
        <w:rPr>
          <w:b/>
          <w:bCs/>
        </w:rPr>
        <w:t xml:space="preserve">NO APLICA</w:t>
      </w:r>
      <w:r>
        <w:t xml:space="preserve"> al alcance actual; el comprobante declara "Documento informativo. No es factura electrónica DIAN."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backend/src/routes/comprobantes.js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backend/src/email.js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Logística, despacho y transportadoras: </w:t>
      </w:r>
      <w:r>
        <w:rPr>
          <w:b/>
          <w:bCs/>
        </w:rPr>
        <w:t xml:space="preserve">NO DETERMINADO</w:t>
      </w:r>
      <w:r>
        <w:t xml:space="preserve">; solo existen estados de pedido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preparado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enviado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entregado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Biometría y placa policial: excluidas por decisión documentada (</w:t>
      </w:r>
      <w:hyperlink w:history="1" r:id="rIdbdufw527fabez1n9bplbl">
        <w:r>
          <w:rPr>
            <w:color w:val="1D4ED8"/>
            <w:u w:val="single"/>
          </w:rPr>
          <w:t xml:space="preserve">docs/POLITICA_VERIFICACION_IDENTIDAD.md</w:t>
        </w:r>
      </w:hyperlink>
      <w:r>
        <w:t xml:space="preserve"> §7).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o709w5x0keyrcducsmcpp">
        <w:r>
          <w:rPr>
            <w:color w:val="1D4ED8"/>
            <w:u w:val="single"/>
          </w:rPr>
          <w:t xml:space="preserve">01_DOCUMENTO_DE_ANALISIS_DEL_SISTEMA.docx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2x4ys12-ohqczsqb2gjlk">
        <w:r>
          <w:rPr>
            <w:color w:val="1D4ED8"/>
            <w:u w:val="single"/>
          </w:rPr>
          <w:t xml:space="preserve">Documento de visión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uq6u5ekrrwxzj3mpq6oqc">
        <w:r>
          <w:rPr>
            <w:color w:val="1D4ED8"/>
            <w:u w:val="single"/>
          </w:rPr>
          <w:t xml:space="preserve">docs/AUDITORIA_TECNICA.md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Descripción del problema y contexto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hg_juga7gx7t690fhebbq" Type="http://schemas.openxmlformats.org/officeDocument/2006/relationships/hyperlink" Target="../docs/AUDITORIA_TECNICA.md" TargetMode="External"/><Relationship Id="rIdifnglbmiislkdwjrmbngr" Type="http://schemas.openxmlformats.org/officeDocument/2006/relationships/hyperlink" Target="../docs/TRATAMIENTO_DATOS_PERSONALES.md" TargetMode="External"/><Relationship Id="rIdzxr0xt39qawv0h1e1bet9" Type="http://schemas.openxmlformats.org/officeDocument/2006/relationships/hyperlink" Target="../docs/MATRIZ_NORMATIVA_COLOMBIA.md" TargetMode="External"/><Relationship Id="rIdzeevfacytwdxrsxyz0y58" Type="http://schemas.openxmlformats.org/officeDocument/2006/relationships/hyperlink" Target="../docs/MATRIZ_ELEGIBILIDAD_PRODUCTOS.md" TargetMode="External"/><Relationship Id="rId01pl3ctt3g2jsyelauw9a" Type="http://schemas.openxmlformats.org/officeDocument/2006/relationships/hyperlink" Target="../docs/VIABILIDAD_SIGEP_DATOS_ABIERTOS.md" TargetMode="External"/><Relationship Id="rIduqwifd_xfb4q2lhu-v3ha" Type="http://schemas.openxmlformats.org/officeDocument/2006/relationships/hyperlink" Target="../docs/REGISTRO_VERIFICADO.md" TargetMode="External"/><Relationship Id="rIdn2up9pnbkkmwcfn8bj4uf" Type="http://schemas.openxmlformats.org/officeDocument/2006/relationships/hyperlink" Target="../docs/inteligencia-mercado-b2g-colombia.md" TargetMode="External"/><Relationship Id="rIdg_3prtqff439tkvu37xnd" Type="http://schemas.openxmlformats.org/officeDocument/2006/relationships/hyperlink" Target="../docs/catalogos-institucionales.md" TargetMode="External"/><Relationship Id="rIdbdufw527fabez1n9bplbl" Type="http://schemas.openxmlformats.org/officeDocument/2006/relationships/hyperlink" Target="../docs/POLITICA_VERIFICACION_IDENTIDAD.md" TargetMode="External"/><Relationship Id="rIdo709w5x0keyrcducsmcpp" Type="http://schemas.openxmlformats.org/officeDocument/2006/relationships/hyperlink" Target="01_DOCUMENTO_DE_ANALISIS_DEL_SISTEMA.docx" TargetMode="External"/><Relationship Id="rId2x4ys12-ohqczsqb2gjlk" Type="http://schemas.openxmlformats.org/officeDocument/2006/relationships/hyperlink" Target="../01_INGENIERIA_DE_REQUERIMIENTOS/01_DOCUMENTO_DE_VISION_Y_PROPOSITO.docx" TargetMode="External"/><Relationship Id="rIduq6u5ekrrwxzj3mpq6oqc" Type="http://schemas.openxmlformats.org/officeDocument/2006/relationships/hyperlink" Target="../docs/AUDITORIA_TECNICA.md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del problema y contexto</dc:title>
  <dc:creator>Suministros Institucionales — documentación del proyecto</dc:creator>
  <dc:description>Generado a partir de 02_ANALISIS/02_DESCRIPCION_DEL_PROBLEMA_Y_CONTEXTO.md</dc:description>
  <cp:lastModifiedBy>Un-named</cp:lastModifiedBy>
  <cp:revision>1</cp:revision>
  <dcterms:created xsi:type="dcterms:W3CDTF">2026-10-16T16:29:38.422Z</dcterms:created>
  <dcterms:modified xsi:type="dcterms:W3CDTF">2026-10-16T16:29:38.422Z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