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Procesos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los procesos de negocio que el sistema ejecuta realmente, con diagramas y la evidencia de código que los respalda.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Seis procesos principales (P-01 a P-06) y tres procesos de soporte (P-07 a P-09). Solo se modela lo que aparece en el código. Los procesos son </w:t>
      </w:r>
      <w:r>
        <w:rPr>
          <w:b/>
          <w:bCs/>
        </w:rPr>
        <w:t xml:space="preserve">[OBS]</w:t>
      </w:r>
      <w:r>
        <w:t xml:space="preserve"> salvo indicación. No hay evidencia de procesos manuales fuera del sistema (despacho físico, facturación, cobro real): quedan </w:t>
      </w:r>
      <w:r>
        <w:rPr>
          <w:b/>
          <w:bCs/>
        </w:rPr>
        <w:t xml:space="preserve">NO DETERMINADO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2906"/>
        <w:gridCol w:w="1402"/>
        <w:gridCol w:w="4272"/>
      </w:tblGrid>
      <w:tr>
        <w:trPr>
          <w:tblHeader/>
        </w:trP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Proceso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Casos de uso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 principal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P-01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y aprobación de cuentas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001, UC</w:t>
              <w:noBreakHyphen/>
              <w:t xml:space="preserve">002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seguridad/registroVerificado.js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routes/solicitudesRegistro.js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P-02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Inicio de sesión con MFA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003, UC</w:t>
              <w:noBreakHyphen/>
              <w:t xml:space="preserve">004, UC</w:t>
              <w:noBreakHyphen/>
              <w:t xml:space="preserve">005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P-03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 de uso general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007 a UC</w:t>
              <w:noBreakHyphen/>
              <w:t xml:space="preserve">010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routes/checkout.js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P-04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 con productos restringidos (verificación institucional)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012, UC</w:t>
              <w:noBreakHyphen/>
              <w:t xml:space="preserve">013, UC</w:t>
              <w:noBreakHyphen/>
              <w:t xml:space="preserve">014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verificacionCompra.js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routes/checkout.js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P-05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Expiración de pedidos y liberación de inventario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routes/automatizaciones.js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P-06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Emisión y envío de comprobantes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011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receiptService.js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routes/comprobantes.js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P-07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Sincronización del padrón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P-08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Atención: asistente, calificación, PQRS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019, UC</w:t>
              <w:noBreakHyphen/>
              <w:t xml:space="preserve">020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routes/asistente.js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routes/atencion.js</w:t>
            </w:r>
          </w:p>
        </w:tc>
      </w:tr>
      <w:tr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P-09</w:t>
            </w:r>
          </w:p>
        </w:tc>
        <w:tc>
          <w:tcPr>
            <w:tcW w:type="dxa" w:w="2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Administración del catálogo y cumplimiento</w:t>
            </w:r>
          </w:p>
        </w:tc>
        <w:tc>
          <w:tcPr>
            <w:tcW w:type="dxa" w:w="1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015</w:t>
            </w:r>
          </w:p>
        </w:tc>
        <w:tc>
          <w:tcPr>
            <w:tcW w:type="dxa" w:w="4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routes/productos.js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/admin/productos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Todas las rutas de código de este documento son relativas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</w:t>
      </w:r>
      <w:r>
        <w:t xml:space="preserve">.</w:t>
      </w:r>
    </w:p>
    <w:p>
      <w:pPr>
        <w:pStyle w:val="Heading2"/>
        <w:keepNext/>
      </w:pPr>
      <w:r>
        <w:t xml:space="preserve">P-01 Registro y aprobación de cuentas</w:t>
      </w:r>
    </w:p>
    <w:p>
      <w:pPr>
        <w:spacing w:after="120"/>
      </w:pPr>
      <w:r>
        <w:rPr>
          <w:b/>
          <w:bCs/>
        </w:rPr>
        <w:t xml:space="preserve">Regla central:</w:t>
      </w:r>
      <w:r>
        <w:t xml:space="preserve"> registrarse no habilita (RN</w:t>
        <w:noBreakHyphen/>
        <w:t xml:space="preserve">001). La respuesta al navegador es siempre la misma (RN</w:t>
        <w:noBreakHyphen/>
        <w:t xml:space="preserve">004).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3695700" cy="11811000"/>
            <wp:effectExtent t="0" r="0" b="0" l="0"/>
            <wp:docPr id="4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Resultados posibles de la verificación: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nit_no_existe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nombre_no_coincide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institucion_no_coincide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persona_inactiva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padron_no_disponible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seguridad/padron.js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cuenta </w:t>
      </w:r>
      <w:r>
        <w:rPr>
          <w:b/>
          <w:bCs/>
        </w:rPr>
        <w:t xml:space="preserve">rechazada</w:t>
      </w:r>
      <w:r>
        <w:t xml:space="preserve"> puede volver a solicitar: el lote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SQL_NUEVA_SOLICITUD</w:t>
      </w:r>
      <w:r>
        <w:t xml:space="preserve"> reactiva la cuenta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 y crea una nueva solicitud (RN</w:t>
        <w:noBreakHyphen/>
        <w:t xml:space="preserve">023).</w:t>
      </w:r>
    </w:p>
    <w:p>
      <w:pPr>
        <w:pStyle w:val="ListParagraph"/>
        <w:numPr>
          <w:ilvl w:val="0"/>
          <w:numId w:val="2"/>
        </w:numPr>
        <w:spacing w:after="40"/>
        <w:sectPr>
          <w:headerReference w:type="default" r:id="rId10"/>
          <w:footerReference w:type="default" r:id="rId11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Decisión concurrente: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UPDATE</w:t>
      </w:r>
      <w:r>
        <w:t xml:space="preserve"> exige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estado = 'pendiente'</w:t>
      </w:r>
      <w:r>
        <w:t xml:space="preserve">; si otro administrador ya decidió, responde 409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YA_DECIDIDA</w:t>
      </w:r>
      <w:r>
        <w:t xml:space="preserve">.</w:t>
      </w:r>
    </w:p>
    <w:p>
      <w:pPr>
        <w:pStyle w:val="Heading2"/>
        <w:keepNext/>
      </w:pPr>
      <w:r>
        <w:t xml:space="preserve">P-02 Inicio de sesión con MFA</w:t>
      </w:r>
    </w:p>
    <w:p>
      <w:pPr>
        <w:spacing w:after="160" w:before="80" w:line="240"/>
        <w:jc w:val="center"/>
        <w:sectPr>
          <w:headerReference w:type="default" r:id="rId12"/>
          <w:footerReference w:type="default" r:id="rId13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5772150" cy="11811000"/>
            <wp:effectExtent t="0" r="0" b="0" l="0"/>
            <wp:docPr id="5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P-03 Compra de uso general</w:t>
      </w:r>
    </w:p>
    <w:p>
      <w:pPr>
        <w:spacing w:after="120"/>
      </w:pPr>
      <w:r>
        <w:rPr>
          <w:b/>
          <w:bCs/>
        </w:rPr>
        <w:t xml:space="preserve">Condición:</w:t>
      </w:r>
      <w:r>
        <w:t xml:space="preserve"> cuenta activa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estado_cuenta = 'activa'</w:t>
      </w:r>
      <w:r>
        <w:t xml:space="preserve">, correo verificado, no suspendida) y producto elegible para la institución del catálogo (RN</w:t>
        <w:noBreakHyphen/>
        <w:t xml:space="preserve">009,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autorizacion.js</w:t>
      </w:r>
      <w:r>
        <w:t xml:space="preserve">).</w:t>
      </w:r>
    </w:p>
    <w:p>
      <w:pPr>
        <w:spacing w:after="160" w:before="80" w:line="240"/>
        <w:jc w:val="center"/>
        <w:sectPr>
          <w:headerReference w:type="default" r:id="rId14"/>
          <w:footerReference w:type="default" r:id="rId15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5172075" cy="11811000"/>
            <wp:effectExtent t="0" r="0" b="0" l="0"/>
            <wp:docPr id="6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precio y el total se calculan con los valores de MySQL (RN</w:t>
        <w:noBreakHyphen/>
        <w:t xml:space="preserve">013).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referencias institucionales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cotizacion_requerida</w:t>
      </w:r>
      <w:r>
        <w:t xml:space="preserve"> no se pueden comprar; el motivo se informa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cotizacion_requerida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sectPr>
          <w:headerReference w:type="default" r:id="rId16"/>
          <w:footerReference w:type="default" r:id="rId1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rPr>
          <w:b/>
          <w:bCs/>
        </w:rPr>
        <w:t xml:space="preserve">[INF]</w:t>
      </w:r>
      <w:r>
        <w:t xml:space="preserve"> El cobro real no existe: el proceso termina en un pago simulado (REQ</w:t>
        <w:noBreakHyphen/>
        <w:t xml:space="preserve">F</w:t>
        <w:noBreakHyphen/>
        <w:t xml:space="preserve">040, RSK</w:t>
        <w:noBreakHyphen/>
        <w:t xml:space="preserve">015).</w:t>
      </w:r>
    </w:p>
    <w:p>
      <w:pPr>
        <w:pStyle w:val="Heading2"/>
        <w:keepNext/>
      </w:pPr>
      <w:r>
        <w:t xml:space="preserve">P-04 Compra con productos restringidos</w:t>
      </w:r>
    </w:p>
    <w:p>
      <w:pPr>
        <w:spacing w:after="160" w:before="80" w:line="240"/>
        <w:jc w:val="center"/>
        <w:sectPr>
          <w:headerReference w:type="default" r:id="rId18"/>
          <w:footerReference w:type="default" r:id="rId1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5229225" cy="11811000"/>
            <wp:effectExtent t="0" r="0" b="0" l="0"/>
            <wp:docPr id="7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Cuatro ojos: vínculo y canal deben registrarlos personas distintas (RN</w:t>
        <w:noBreakHyphen/>
        <w:t xml:space="preserve">011).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autorización se liga al usuario, al cliente y al hash del carrito; si el carrito cambia, el checkout responde 403 con motivo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carrito_distinto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sectPr>
          <w:headerReference w:type="default" r:id="rId20"/>
          <w:footerReference w:type="default" r:id="rId21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Una revisión legal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bloqueada</w:t>
      </w:r>
      <w:r>
        <w:t xml:space="preserve"> del producto impide la venta (RN</w:t>
        <w:noBreakHyphen/>
        <w:t xml:space="preserve">008).</w:t>
      </w:r>
    </w:p>
    <w:p>
      <w:pPr>
        <w:pStyle w:val="Heading2"/>
        <w:keepNext/>
      </w:pPr>
      <w:r>
        <w:t xml:space="preserve">P-05 Expiración de pedidos</w:t>
      </w:r>
    </w:p>
    <w:p>
      <w:pPr>
        <w:spacing w:after="160" w:before="80" w:line="240"/>
        <w:jc w:val="center"/>
        <w:sectPr>
          <w:headerReference w:type="default" r:id="rId22"/>
          <w:footerReference w:type="default" r:id="rId23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191500" cy="1104900"/>
            <wp:effectExtent t="0" r="0" b="0" l="0"/>
            <wp:docPr id="8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sectPr>
          <w:headerReference w:type="default" r:id="rId24"/>
          <w:footerReference w:type="default" r:id="rId25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rPr>
          <w:b/>
          <w:bCs/>
        </w:rPr>
        <w:t xml:space="preserve">[OBS]</w:t>
      </w:r>
      <w:r>
        <w:t xml:space="preserve"> Ambos caminos son idempotentes; el job interno garantiza la expiración aunque n8n no esté activo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paymentJobs.js</w:t>
      </w:r>
      <w:r>
        <w:t xml:space="preserve">). Verificado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paymentJobs.test</w:t>
      </w:r>
      <w:r>
        <w:t xml:space="preserve"> (REQ</w:t>
        <w:noBreakHyphen/>
        <w:t xml:space="preserve">F</w:t>
        <w:noBreakHyphen/>
        <w:t xml:space="preserve">022).</w:t>
      </w:r>
    </w:p>
    <w:p>
      <w:pPr>
        <w:pStyle w:val="Heading2"/>
        <w:keepNext/>
      </w:pPr>
      <w:r>
        <w:t xml:space="preserve">P-06 Comprobantes</w:t>
      </w:r>
    </w:p>
    <w:p>
      <w:pPr>
        <w:spacing w:after="160" w:before="80" w:line="240"/>
        <w:jc w:val="center"/>
        <w:sectPr>
          <w:headerReference w:type="default" r:id="rId26"/>
          <w:footerReference w:type="default" r:id="rId27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3906500" cy="3381375"/>
            <wp:effectExtent t="0" r="0" b="0" l="0"/>
            <wp:docPr id="9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P-07 Sincronización del padrón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Al arrancar y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 (10 por defecto), el backend lee la fuente (solo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SELECT</w:t>
      </w:r>
      <w:r>
        <w:t xml:space="preserve">), calcula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nit_hash</w:t>
      </w:r>
      <w:r>
        <w:t xml:space="preserve"> (HMAC), cifra nombre y entidad, compara una huella para no reescribir filas sin cambios y marca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inactiva</w:t>
      </w:r>
      <w:r>
        <w:t xml:space="preserve"> las filas que desaparecen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seguridad/padron.js</w:t>
      </w:r>
      <w:r>
        <w:t xml:space="preserve">). Estado: IMPLEMENTADO, NO VERIFICADO (REQ</w:t>
        <w:noBreakHyphen/>
        <w:t xml:space="preserve">F</w:t>
        <w:noBreakHyphen/>
        <w:t xml:space="preserve">003).</w:t>
      </w:r>
    </w:p>
    <w:p>
      <w:pPr>
        <w:pStyle w:val="Heading2"/>
        <w:keepNext/>
      </w:pPr>
      <w:r>
        <w:t xml:space="preserve">P-08 Atención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Asistente: reglas locales sobre el índice del catálogo filtrado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evaluarProducto</w:t>
      </w:r>
      <w:r>
        <w:t xml:space="preserve">; 20 mensajes por minuto por IP; preguntas sin respuesta se guardan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asistente_pendientes</w:t>
      </w:r>
      <w:r>
        <w:t xml:space="preserve">; escalamiento W6 sin datos personales.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Calificación 1–5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/api/atencion/calificacion</w:t>
      </w:r>
      <w:r>
        <w:t xml:space="preserve">) — sin autenticación ni límite (BUG</w:t>
        <w:noBreakHyphen/>
        <w:t xml:space="preserve">002).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PQRS/soporte/cotización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/api/atencion/solicitudes</w:t>
      </w:r>
      <w:r>
        <w:t xml:space="preserve">): radicado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SI-00000000</w:t>
      </w:r>
      <w:r>
        <w:t xml:space="preserve">, NIT y correo cifrados, 5 por IP cada 15 min. </w:t>
      </w:r>
      <w:r>
        <w:rPr>
          <w:b/>
          <w:bCs/>
        </w:rPr>
        <w:t xml:space="preserve">[OBS]</w:t>
      </w:r>
      <w:r>
        <w:t xml:space="preserve"> No existe en el repositorio una pantalla para que el personal gestione estas solicitudes: su gestión posterior es </w:t>
      </w:r>
      <w:r>
        <w:rPr>
          <w:b/>
          <w:bCs/>
        </w:rPr>
        <w:t xml:space="preserve">NO DETERMINADO</w:t>
      </w:r>
      <w:r>
        <w:t xml:space="preserve">.</w:t>
      </w:r>
    </w:p>
    <w:p>
      <w:pPr>
        <w:pStyle w:val="Heading2"/>
        <w:keepNext/>
      </w:pPr>
      <w:r>
        <w:t xml:space="preserve">P-09 Catálogo y cumplimiento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Crear, editar y retirar productos y categorías exige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catalogo.gestionar</w:t>
      </w:r>
      <w:r>
        <w:t xml:space="preserve">; cambiar la restricción o la institución de un producto exige además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productos.cumplimiento</w:t>
      </w:r>
      <w:r>
        <w:t xml:space="preserve"> (403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routes/productos.js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Elegibilidad M:N y revisión legal se gestionan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PUT /api/verificacion/admin/productos/:id/cumplimiento</w:t>
      </w:r>
      <w:r>
        <w:t xml:space="preserve"> con sustento obligatorio (mínimo 10 caracteres).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oihwqqbinzcjlx75ur13">
        <w:r>
          <w:rPr>
            <w:color w:val="1D4ED8"/>
            <w:u w:val="single"/>
          </w:rPr>
          <w:t xml:space="preserve">05_CASOS_DE_USO.docx</w:t>
        </w:r>
      </w:hyperlink>
      <w:r>
        <w:t xml:space="preserve">, </w:t>
      </w:r>
      <w:hyperlink w:history="1" r:id="rIdtoskez6jxs59snymtq9ei">
        <w:r>
          <w:rPr>
            <w:color w:val="1D4ED8"/>
            <w:u w:val="single"/>
          </w:rPr>
          <w:t xml:space="preserve">07_FLUJOS_PRINCIPALES_Y_ALTERNATIVOS.docx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_pt3rxvtqcrgjuaz6wmd">
        <w:r>
          <w:rPr>
            <w:color w:val="1D4ED8"/>
            <w:u w:val="single"/>
          </w:rPr>
          <w:t xml:space="preserve">Reglas de negocio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4wpcbwzxlcn4axjrlcvy">
        <w:r>
          <w:rPr>
            <w:color w:val="1D4ED8"/>
            <w:u w:val="single"/>
          </w:rPr>
          <w:t xml:space="preserve">docs/POLITICA_VERIFICACION_IDENTIDAD.md</w:t>
        </w:r>
      </w:hyperlink>
      <w:r>
        <w:t xml:space="preserve">, </w:t>
      </w:r>
      <w:hyperlink w:history="1" r:id="rIdazjqnmc0flp-oqxqwwobz">
        <w:r>
          <w:rPr>
            <w:color w:val="1D4ED8"/>
            <w:u w:val="single"/>
          </w:rPr>
          <w:t xml:space="preserve">docs/REGISTRO_VERIFICADO.md</w:t>
        </w:r>
      </w:hyperlink>
    </w:p>
    <w:sectPr>
      <w:headerReference w:type="default" r:id="rId28"/>
      <w:footerReference w:type="default" r:id="rId29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Procesos del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theme" Target="theme/theme1.xml"/><Relationship Id="rIdmoihwqqbinzcjlx75ur13" Type="http://schemas.openxmlformats.org/officeDocument/2006/relationships/hyperlink" Target="05_CASOS_DE_USO.docx" TargetMode="External"/><Relationship Id="rIdtoskez6jxs59snymtq9ei" Type="http://schemas.openxmlformats.org/officeDocument/2006/relationships/hyperlink" Target="07_FLUJOS_PRINCIPALES_Y_ALTERNATIVOS.docx" TargetMode="External"/><Relationship Id="rIdm_pt3rxvtqcrgjuaz6wmd" Type="http://schemas.openxmlformats.org/officeDocument/2006/relationships/hyperlink" Target="../01_INGENIERIA_DE_REQUERIMIENTOS/07_REGLAS_DE_NEGOCIO.docx" TargetMode="External"/><Relationship Id="rIdc4wpcbwzxlcn4axjrlcvy" Type="http://schemas.openxmlformats.org/officeDocument/2006/relationships/hyperlink" Target="../docs/POLITICA_VERIFICACION_IDENTIDAD.md" TargetMode="External"/><Relationship Id="rIdazjqnmc0flp-oqxqwwobz" Type="http://schemas.openxmlformats.org/officeDocument/2006/relationships/hyperlink" Target="../docs/REGISTRO_VERIFICADO.md" TargetMode="External"/><Relationship Id="rId36" Type="http://schemas.openxmlformats.org/officeDocument/2006/relationships/image" Target="media/9960e113d58c0dd5755e171aefac8504cf01e8cc.png"/><Relationship Id="rId37" Type="http://schemas.openxmlformats.org/officeDocument/2006/relationships/image" Target="media/afdf2d8e584cbd98dc0636e2c5606fe4ff79952f.png"/><Relationship Id="rId38" Type="http://schemas.openxmlformats.org/officeDocument/2006/relationships/image" Target="media/564ae389591613a043d36f5ab2514a91ff357c69.png"/><Relationship Id="rId39" Type="http://schemas.openxmlformats.org/officeDocument/2006/relationships/image" Target="media/73616c57a65babb307eb010447df241cf028ad8f.png"/><Relationship Id="rId40" Type="http://schemas.openxmlformats.org/officeDocument/2006/relationships/image" Target="media/3bbdfcb40053b4a4b1b1328586827cd263a4ce43.png"/><Relationship Id="rId41" Type="http://schemas.openxmlformats.org/officeDocument/2006/relationships/image" Target="media/cedf9f56a75b18bec81fcf6af5a35f7ccad14ef1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Procesos del negocio</dc:title>
  <dc:creator>Suministros Institucionales — documentación del proyecto</dc:creator>
  <dc:description>Generado a partir de 02_ANALISIS/03_PROCESOS_DEL_NEGOCIO.md</dc:description>
  <cp:lastModifiedBy>Un-named</cp:lastModifiedBy>
  <cp:revision>1</cp:revision>
  <dcterms:created xsi:type="dcterms:W3CDTF">2026-10-16T16:29:38.455Z</dcterms:created>
  <dcterms:modified xsi:type="dcterms:W3CDTF">2026-10-16T16:29:38.455Z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