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Flujos principales y alternativos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07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Representar con diagramas de secuencia los flujos críticos, incluidos los caminos de error, los permisos insuficientes y los casos límite que el código maneja explícitamente.</w:t>
      </w:r>
    </w:p>
    <w:p>
      <w:pPr>
        <w:pStyle w:val="Heading2"/>
        <w:keepNext/>
      </w:pPr>
      <w:r>
        <w:t xml:space="preserve">Alcance</w:t>
      </w:r>
    </w:p>
    <w:p>
      <w:pPr>
        <w:spacing w:after="120"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  <w:r>
        <w:t xml:space="preserve">Ocho flujos (FL-01 a FL-08) y una tabla de casos límite. Los códigos HTTP y las condiciones son </w:t>
      </w:r>
      <w:r>
        <w:rPr>
          <w:b/>
          <w:bCs/>
        </w:rPr>
        <w:t xml:space="preserve">[OBS]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backend/src/routes/*.js</w:t>
      </w:r>
      <w:r>
        <w:t xml:space="preserve">. Se complementa con </w:t>
      </w:r>
      <w:hyperlink w:history="1" r:id="rIdqdhqiamyitplg--meriwc">
        <w:r>
          <w:rPr>
            <w:color w:val="1D4ED8"/>
            <w:u w:val="single"/>
          </w:rPr>
          <w:t xml:space="preserve">06_ESPECIFICACION_DE_CASOS_DE_USO.docx</w:t>
        </w:r>
      </w:hyperlink>
      <w:r>
        <w:t xml:space="preserve">.</w:t>
      </w:r>
    </w:p>
    <w:p>
      <w:pPr>
        <w:pStyle w:val="Heading2"/>
        <w:keepNext/>
      </w:pPr>
      <w:r>
        <w:t xml:space="preserve">FL-01 Registro (UC</w:t>
        <w:noBreakHyphen/>
        <w:t xml:space="preserve">001)</w:t>
      </w: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24480" w:h="158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10639425" cy="6667500"/>
            <wp:effectExtent t="0" r="0" b="0" l="0"/>
            <wp:docPr id="13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94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sectPr>
          <w:headerReference w:type="default" r:id="rId10"/>
          <w:footerReference w:type="default" r:id="rId11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  <w:r>
        <w:rPr>
          <w:b/>
          <w:bCs/>
        </w:rPr>
        <w:t xml:space="preserve">Caso límite:</w:t>
      </w:r>
      <w:r>
        <w:t xml:space="preserve"> la respuesta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202</w:t>
      </w:r>
      <w:r>
        <w:t xml:space="preserve"> es idéntica para correos nuevos y existentes (RN</w:t>
        <w:noBreakHyphen/>
        <w:t xml:space="preserve">004); el aviso a n8n nunca bloquea la respuesta y un fallo solo queda en el log.</w:t>
      </w:r>
    </w:p>
    <w:p>
      <w:pPr>
        <w:pStyle w:val="Heading2"/>
        <w:keepNext/>
      </w:pPr>
      <w:r>
        <w:t xml:space="preserve">FL-02 Aprobación de la solicitud (UC</w:t>
        <w:noBreakHyphen/>
        <w:t xml:space="preserve">002)</w:t>
      </w:r>
    </w:p>
    <w:p>
      <w:pPr>
        <w:spacing w:after="160" w:before="80" w:line="240"/>
        <w:jc w:val="center"/>
        <w:sectPr>
          <w:headerReference w:type="default" r:id="rId12"/>
          <w:footerReference w:type="default" r:id="rId13"/>
          <w:pgSz w:w="24480" w:h="158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8763000" cy="6667500"/>
            <wp:effectExtent t="0" r="0" b="0" l="0"/>
            <wp:docPr id="14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FL-03 Inicio de sesión con MFA (UC</w:t>
        <w:noBreakHyphen/>
        <w:t xml:space="preserve">003)</w:t>
      </w:r>
    </w:p>
    <w:p>
      <w:pPr>
        <w:spacing w:after="160" w:before="80" w:line="240"/>
        <w:jc w:val="center"/>
        <w:sectPr>
          <w:headerReference w:type="default" r:id="rId14"/>
          <w:footerReference w:type="default" r:id="rId15"/>
          <w:pgSz w:w="15840" w:h="24480" w:orient="portrait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8572500" cy="7419975"/>
            <wp:effectExtent t="0" r="0" b="0" l="0"/>
            <wp:docPr id="15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FL-04 Petición autenticada y revocación (UC</w:t>
        <w:noBreakHyphen/>
        <w:t xml:space="preserve">004)</w:t>
      </w:r>
    </w:p>
    <w:p>
      <w:pPr>
        <w:spacing w:after="160" w:before="80" w:line="240"/>
        <w:jc w:val="center"/>
        <w:sectPr>
          <w:headerReference w:type="default" r:id="rId16"/>
          <w:footerReference w:type="default" r:id="rId17"/>
          <w:pgSz w:w="24480" w:h="158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11229975" cy="6667500"/>
            <wp:effectExtent t="0" r="0" b="0" l="0"/>
            <wp:docPr id="16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99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FL-05 Checkout y pago mock (UC</w:t>
        <w:noBreakHyphen/>
        <w:t xml:space="preserve">009)</w:t>
      </w:r>
    </w:p>
    <w:p>
      <w:pPr>
        <w:spacing w:after="160" w:before="80" w:line="240"/>
        <w:jc w:val="center"/>
        <w:sectPr>
          <w:headerReference w:type="default" r:id="rId18"/>
          <w:footerReference w:type="default" r:id="rId19"/>
          <w:pgSz w:w="15840" w:h="24480" w:orient="portrait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8572500" cy="7924800"/>
            <wp:effectExtent t="0" r="0" b="0" l="0"/>
            <wp:docPr id="17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sectPr>
          <w:headerReference w:type="default" r:id="rId20"/>
          <w:footerReference w:type="default" r:id="rId21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  <w:r>
        <w:rPr>
          <w:b/>
          <w:bCs/>
        </w:rPr>
        <w:t xml:space="preserve">Casos límite:</w:t>
      </w:r>
      <w:r>
        <w:t xml:space="preserve"> un reintento con la misma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Idempotency-Key</w:t>
      </w:r>
      <w:r>
        <w:t xml:space="preserve"> y el mismo contenido devuelve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200</w:t>
      </w:r>
      <w:r>
        <w:t xml:space="preserve"> con el pedido existente; en producción o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PAYMENT_MODE≠mock</w:t>
      </w:r>
      <w:r>
        <w:t xml:space="preserve"> la simulación responde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404</w:t>
      </w:r>
      <w:r>
        <w:t xml:space="preserve">.</w:t>
      </w:r>
    </w:p>
    <w:p>
      <w:pPr>
        <w:pStyle w:val="Heading2"/>
        <w:keepNext/>
      </w:pPr>
      <w:r>
        <w:t xml:space="preserve">FL-06 Verificación y autorización de compra restringida (UC</w:t>
        <w:noBreakHyphen/>
        <w:t xml:space="preserve">012 a UC</w:t>
        <w:noBreakHyphen/>
        <w:t xml:space="preserve">014)</w:t>
      </w:r>
    </w:p>
    <w:p>
      <w:pPr>
        <w:spacing w:after="160" w:before="80" w:line="240"/>
        <w:jc w:val="center"/>
        <w:sectPr>
          <w:headerReference w:type="default" r:id="rId22"/>
          <w:footerReference w:type="default" r:id="rId23"/>
          <w:pgSz w:w="15840" w:h="24480" w:orient="portrait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8572500" cy="8153400"/>
            <wp:effectExtent t="0" r="0" b="0" l="0"/>
            <wp:docPr id="18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FL-07 Automatizaciones con token (UC</w:t>
        <w:noBreakHyphen/>
        <w:t xml:space="preserve">023)</w:t>
      </w:r>
    </w:p>
    <w:p>
      <w:pPr>
        <w:spacing w:after="160" w:before="80" w:line="240"/>
        <w:jc w:val="center"/>
        <w:sectPr>
          <w:headerReference w:type="default" r:id="rId24"/>
          <w:footerReference w:type="default" r:id="rId25"/>
          <w:pgSz w:w="15840" w:h="122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7496175" cy="4095750"/>
            <wp:effectExtent t="0" r="0" b="0" l="0"/>
            <wp:docPr id="19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1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FL-08 Cancelación de pedido (UC</w:t>
        <w:noBreakHyphen/>
        <w:t xml:space="preserve">010)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5905500" cy="5105400"/>
            <wp:effectExtent t="0" r="0" b="0" l="0"/>
            <wp:docPr id="20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Tabla de casos límite y códigos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956"/>
        <w:gridCol w:w="3352"/>
        <w:gridCol w:w="1776"/>
      </w:tblGrid>
      <w:tr>
        <w:trPr>
          <w:tblHeader/>
        </w:trP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Situación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Ruta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Fundamento</w:t>
            </w:r>
          </w:p>
        </w:tc>
      </w:tr>
      <w:t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Endpoint retirado de creación de pedidos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410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/api/pedidos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/api/pagos/procesar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Pedidos solo por checkout</w:t>
            </w:r>
          </w:p>
        </w:tc>
      </w:tr>
      <w:t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 MFA o de cambio de correo vencido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410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/api/auth/mfa/verificar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/api/mi-cuenta/correo/confirmar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Vigencia de 5 min</w:t>
            </w:r>
          </w:p>
        </w:tc>
      </w:tr>
      <w:t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Reto de reenvío vencido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410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/api/auth/mfa/reenviar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Producto oculto, restringido no elegible o de otra institución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404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/api/productos/:id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Respuesta idéntica a inexistente (no revela)</w:t>
            </w:r>
          </w:p>
        </w:tc>
      </w:tr>
      <w:t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 de otro titular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404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/api/verificacion/mi-solicitud/documentos/:id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Limitado al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cliente_id</w:t>
            </w:r>
          </w:p>
        </w:tc>
      </w:tr>
      <w:t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Admin intenta comprar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403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/api/checkout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Staff no compra</w:t>
            </w:r>
          </w:p>
        </w:tc>
      </w:tr>
      <w:t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 de restricción sin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productos.cumplimiento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403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/api/productos/:id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Escalada vertical</w:t>
            </w:r>
          </w:p>
        </w:tc>
      </w:tr>
      <w:t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Quitarse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staff.permisos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409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/api/verificacion/admin/permisos/:usuarioId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017</w:t>
            </w:r>
          </w:p>
        </w:tc>
      </w:tr>
      <w:t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Cambio de estado de pago manual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409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/api/pedidos/:id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por evento verificado</w:t>
            </w:r>
          </w:p>
        </w:tc>
      </w:tr>
      <w:t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JSON mal formado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400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Todas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Manejador de errores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app.js</w:t>
            </w:r>
          </w:p>
        </w:tc>
      </w:tr>
      <w:t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Cuerpo demasiado grande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413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/api/auth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/api/admin/solicitudes</w:t>
            </w:r>
            <w:r>
              <w:rPr>
                <w:sz w:val="17"/>
                <w:szCs w:val="17"/>
              </w:rPr>
              <w:t xml:space="preserve"> (10 kb), resto (100 kb)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app.js</w:t>
            </w:r>
          </w:p>
        </w:tc>
      </w:tr>
      <w:t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de datos no disponible al validar sesión o permisos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503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Middlewares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Fallo cerrado</w:t>
            </w:r>
          </w:p>
        </w:tc>
      </w:tr>
      <w:t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Automatización sin configurar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503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/api/automatizaciones/*</w:t>
            </w:r>
            <w:r>
              <w:rPr>
                <w:sz w:val="17"/>
                <w:szCs w:val="17"/>
              </w:rPr>
              <w:t xml:space="preserve">, resumen semanal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Fallo cerrado</w:t>
            </w:r>
          </w:p>
        </w:tc>
      </w:tr>
      <w:tr>
        <w:tc>
          <w:tcPr>
            <w:tcW w:type="dxa" w:w="32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Reporte mensual sin sesión</w:t>
            </w:r>
          </w:p>
        </w:tc>
        <w:tc>
          <w:tcPr>
            <w:tcW w:type="dxa" w:w="9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200</w:t>
            </w:r>
          </w:p>
        </w:tc>
        <w:tc>
          <w:tcPr>
            <w:tcW w:type="dxa" w:w="3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/api/reportes/mensual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BUG</w:t>
              <w:noBreakHyphen/>
              <w:t xml:space="preserve">001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_tnpn4dh8e5u27ooeei25">
        <w:r>
          <w:rPr>
            <w:color w:val="1D4ED8"/>
            <w:u w:val="single"/>
          </w:rPr>
          <w:t xml:space="preserve">03_PROCESOS_DEL_NEGOCIO.docx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gcsjesv-jdzyw-h2bfyaq">
        <w:r>
          <w:rPr>
            <w:color w:val="1D4ED8"/>
            <w:u w:val="single"/>
          </w:rPr>
          <w:t xml:space="preserve">Pruebas funcionales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cx2in83lwacyrs9unzkfi">
        <w:r>
          <w:rPr>
            <w:color w:val="1D4ED8"/>
            <w:u w:val="single"/>
          </w:rPr>
          <w:t xml:space="preserve">Diseño de API</w:t>
        </w:r>
      </w:hyperlink>
    </w:p>
    <w:sectPr>
      <w:headerReference w:type="default" r:id="rId26"/>
      <w:footerReference w:type="default" r:id="rId2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Flujos principales y alternativos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Flujos principales y alternativos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Flujos principales y alternativos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Flujos principales y alternativos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Flujos principales y alternativos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Flujos principales y alternativos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Flujos principales y alternativos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Flujos principales y alternativos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Flujos principales y alternativos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Flujos principales y alternativos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Flujos principales y alternativos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theme" Target="theme/theme1.xml"/><Relationship Id="rIdqdhqiamyitplg--meriwc" Type="http://schemas.openxmlformats.org/officeDocument/2006/relationships/hyperlink" Target="06_ESPECIFICACION_DE_CASOS_DE_USO.docx" TargetMode="External"/><Relationship Id="rId_tnpn4dh8e5u27ooeei25" Type="http://schemas.openxmlformats.org/officeDocument/2006/relationships/hyperlink" Target="03_PROCESOS_DEL_NEGOCIO.docx" TargetMode="External"/><Relationship Id="rIdgcsjesv-jdzyw-h2bfyaq" Type="http://schemas.openxmlformats.org/officeDocument/2006/relationships/hyperlink" Target="../05_PRUEBAS/04_PRUEBAS_FUNCIONALES.docx" TargetMode="External"/><Relationship Id="rIdcx2in83lwacyrs9unzkfi" Type="http://schemas.openxmlformats.org/officeDocument/2006/relationships/hyperlink" Target="../03_DISENO/08_DISENO_DE_API.docx" TargetMode="External"/><Relationship Id="rId33" Type="http://schemas.openxmlformats.org/officeDocument/2006/relationships/image" Target="media/dc05f1bc30a848adb580fca3529f0c8adc59f9ce.png"/><Relationship Id="rId34" Type="http://schemas.openxmlformats.org/officeDocument/2006/relationships/image" Target="media/c27a008ee5903e8b8433471b85a95a95f619f12f.png"/><Relationship Id="rId35" Type="http://schemas.openxmlformats.org/officeDocument/2006/relationships/image" Target="media/59cd98918f5070884711c8a0917e34f2834b8fd7.png"/><Relationship Id="rId36" Type="http://schemas.openxmlformats.org/officeDocument/2006/relationships/image" Target="media/d4ce3a6f0c6f08980b74e71b21eb9927fbfec4bc.png"/><Relationship Id="rId37" Type="http://schemas.openxmlformats.org/officeDocument/2006/relationships/image" Target="media/a60f63891c49e126b2dd713b9192f8ab46620e6a.png"/><Relationship Id="rId38" Type="http://schemas.openxmlformats.org/officeDocument/2006/relationships/image" Target="media/2c262ebfdd093115ec1943792db61e98277c1a0e.png"/><Relationship Id="rId39" Type="http://schemas.openxmlformats.org/officeDocument/2006/relationships/image" Target="media/801e8a0b7d818b9150bdebbc9abf3e03d2c9dbae.png"/><Relationship Id="rId40" Type="http://schemas.openxmlformats.org/officeDocument/2006/relationships/image" Target="media/e626500bb3b228693dc3544eec44f9077cf5e7da.png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Flujos principales y alternativos</dc:title>
  <dc:creator>Suministros Institucionales — documentación del proyecto</dc:creator>
  <dc:description>Generado a partir de 02_ANALISIS/07_FLUJOS_PRINCIPALES_Y_ALTERNATIVOS.md</dc:description>
  <cp:lastModifiedBy>Un-named</cp:lastModifiedBy>
  <cp:revision>1</cp:revision>
  <dcterms:created xsi:type="dcterms:W3CDTF">2026-10-16T16:29:38.683Z</dcterms:created>
  <dcterms:modified xsi:type="dcterms:W3CDTF">2026-10-16T16:29:38.683Z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