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Guía técnica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04</w:t>
              <w:noBreakHyphen/>
              <w:t xml:space="preserve">01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Dar a un desarrollador nuevo una visión técnica completa y verificable del sistema antes de tocar el código.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Backend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../backend/</w:t>
      </w:r>
      <w:r>
        <w:t xml:space="preserve">), frontend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../frontend/</w:t>
      </w:r>
      <w:r>
        <w:t xml:space="preserve">), automatizaciones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../n8n/</w:t>
      </w:r>
      <w:r>
        <w:t xml:space="preserve">) y documentación previa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../docs/</w:t>
      </w:r>
      <w:r>
        <w:t xml:space="preserve">). No cubre infraestructura de producción (no existe evidencia de un despliegue productivo).</w:t>
      </w:r>
    </w:p>
    <w:p>
      <w:pPr>
        <w:pStyle w:val="Heading2"/>
        <w:keepNext/>
      </w:pPr>
      <w:r>
        <w:t xml:space="preserve">1. Qué es el sistema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Plataforma web de suministros para entidades públicas e institucionales colombianas (Policía, Defensa, Bomberos, Socorro, Penitenciario, Corporativo). Funciones principales: registro verificado contra un padrón institucional con aprobación humana, inicio de sesión con captcha y MFA por correo, catálogo segmentado por institución, carrito, checkout con pago simulado (mock), pedidos, comprobantes no-DIAN, verificación institucional para productos restringidos, asistente de catálogo, reportes, auditoría y automatizaciones n8n. Entorno declarado: </w:t>
      </w:r>
      <w:r>
        <w:rPr>
          <w:b/>
          <w:bCs/>
        </w:rPr>
        <w:t xml:space="preserve">laboratorio, costo cero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../docs/REGISTRO_VERIFICADO.md</w:t>
      </w:r>
      <w:r>
        <w:t xml:space="preserve">).</w:t>
      </w:r>
    </w:p>
    <w:p>
      <w:pPr>
        <w:pStyle w:val="Heading2"/>
        <w:keepNext/>
      </w:pPr>
      <w:r>
        <w:t xml:space="preserve">2. Pila tecnológica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30"/>
        <w:gridCol w:w="3595"/>
        <w:gridCol w:w="3735"/>
      </w:tblGrid>
      <w:tr>
        <w:trPr>
          <w:tblHeader/>
        </w:trPr>
        <w:tc>
          <w:tcPr>
            <w:tcW w:type="dxa" w:w="20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Capa</w:t>
            </w:r>
          </w:p>
        </w:tc>
        <w:tc>
          <w:tcPr>
            <w:tcW w:type="dxa" w:w="35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Tecnología</w:t>
            </w:r>
          </w:p>
        </w:tc>
        <w:tc>
          <w:tcPr>
            <w:tcW w:type="dxa" w:w="3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Evidencia</w:t>
            </w:r>
          </w:p>
        </w:tc>
      </w:tr>
      <w:tr>
        <w:tc>
          <w:tcPr>
            <w:tcW w:type="dxa" w:w="20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Ejecución</w:t>
            </w:r>
          </w:p>
        </w:tc>
        <w:tc>
          <w:tcPr>
            <w:tcW w:type="dxa" w:w="35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Node.js (README pide ≥18; pruebas del 2026-10-16 en v24.19.0)</w:t>
            </w:r>
          </w:p>
        </w:tc>
        <w:tc>
          <w:tcPr>
            <w:tcW w:type="dxa" w:w="3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../backend/README.md</w:t>
            </w:r>
            <w:r>
              <w:rPr>
                <w:sz w:val="17"/>
                <w:szCs w:val="17"/>
              </w:rPr>
              <w:t xml:space="preserve">, ejecución local</w:t>
            </w:r>
          </w:p>
        </w:tc>
      </w:tr>
      <w:tr>
        <w:tc>
          <w:tcPr>
            <w:tcW w:type="dxa" w:w="20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Servidor HTTP</w:t>
            </w:r>
          </w:p>
        </w:tc>
        <w:tc>
          <w:tcPr>
            <w:tcW w:type="dxa" w:w="35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Express 4 (CommonJS)</w:t>
            </w:r>
          </w:p>
        </w:tc>
        <w:tc>
          <w:tcPr>
            <w:tcW w:type="dxa" w:w="3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../backend/package.json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../backend/src/app.js</w:t>
            </w:r>
          </w:p>
        </w:tc>
      </w:tr>
      <w:tr>
        <w:tc>
          <w:tcPr>
            <w:tcW w:type="dxa" w:w="20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Base de datos</w:t>
            </w:r>
          </w:p>
        </w:tc>
        <w:tc>
          <w:tcPr>
            <w:tcW w:type="dxa" w:w="35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MySQL 8 vía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mysql2/promise</w:t>
            </w:r>
            <w:r>
              <w:rPr>
                <w:sz w:val="17"/>
                <w:szCs w:val="17"/>
              </w:rPr>
              <w:t xml:space="preserve"> (Clever Cloud según documentación previa)</w:t>
            </w:r>
          </w:p>
        </w:tc>
        <w:tc>
          <w:tcPr>
            <w:tcW w:type="dxa" w:w="3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../backend/src/db.js</w:t>
            </w:r>
          </w:p>
        </w:tc>
      </w:tr>
      <w:tr>
        <w:tc>
          <w:tcPr>
            <w:tcW w:type="dxa" w:w="20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Validación</w:t>
            </w:r>
          </w:p>
        </w:tc>
        <w:tc>
          <w:tcPr>
            <w:tcW w:type="dxa" w:w="35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zod</w:t>
            </w:r>
            <w:r>
              <w:rPr>
                <w:sz w:val="17"/>
                <w:szCs w:val="17"/>
              </w:rPr>
              <w:t xml:space="preserve"> 4</w:t>
            </w:r>
          </w:p>
        </w:tc>
        <w:tc>
          <w:tcPr>
            <w:tcW w:type="dxa" w:w="3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../backend/src/routes/miCuenta.js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../backend/src/registroInstitucional.js</w:t>
            </w:r>
          </w:p>
        </w:tc>
      </w:tr>
      <w:tr>
        <w:tc>
          <w:tcPr>
            <w:tcW w:type="dxa" w:w="20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Autenticación</w:t>
            </w:r>
          </w:p>
        </w:tc>
        <w:tc>
          <w:tcPr>
            <w:tcW w:type="dxa" w:w="35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jsonwebtoken</w:t>
            </w:r>
            <w:r>
              <w:rPr>
                <w:sz w:val="17"/>
                <w:szCs w:val="17"/>
              </w:rPr>
              <w:t xml:space="preserve"> (HS256),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bcrypt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bcryptjs</w:t>
            </w:r>
            <w:r>
              <w:rPr>
                <w:sz w:val="17"/>
                <w:szCs w:val="17"/>
              </w:rPr>
              <w:t xml:space="preserve">, MFA propio</w:t>
            </w:r>
          </w:p>
        </w:tc>
        <w:tc>
          <w:tcPr>
            <w:tcW w:type="dxa" w:w="3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../backend/src/routes/auth.js</w:t>
            </w:r>
          </w:p>
        </w:tc>
      </w:tr>
      <w:tr>
        <w:tc>
          <w:tcPr>
            <w:tcW w:type="dxa" w:w="20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Limitación de tasa</w:t>
            </w:r>
          </w:p>
        </w:tc>
        <w:tc>
          <w:tcPr>
            <w:tcW w:type="dxa" w:w="35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express-rate-limit</w:t>
            </w:r>
            <w:r>
              <w:rPr>
                <w:sz w:val="17"/>
                <w:szCs w:val="17"/>
              </w:rPr>
              <w:t xml:space="preserve"> 7 (memoria del proceso)</w:t>
            </w:r>
          </w:p>
        </w:tc>
        <w:tc>
          <w:tcPr>
            <w:tcW w:type="dxa" w:w="3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rutas</w:t>
            </w:r>
          </w:p>
        </w:tc>
      </w:tr>
      <w:tr>
        <w:tc>
          <w:tcPr>
            <w:tcW w:type="dxa" w:w="20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Correo</w:t>
            </w:r>
          </w:p>
        </w:tc>
        <w:tc>
          <w:tcPr>
            <w:tcW w:type="dxa" w:w="35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nodemailer</w:t>
            </w:r>
            <w:r>
              <w:rPr>
                <w:sz w:val="17"/>
                <w:szCs w:val="17"/>
              </w:rPr>
              <w:t xml:space="preserve"> 6 (Mailpit en laboratorio; consola si no hay SMTP fuera de producción)</w:t>
            </w:r>
          </w:p>
        </w:tc>
        <w:tc>
          <w:tcPr>
            <w:tcW w:type="dxa" w:w="3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../backend/src/seguridad/correo.js</w:t>
            </w:r>
          </w:p>
        </w:tc>
      </w:tr>
      <w:tr>
        <w:tc>
          <w:tcPr>
            <w:tcW w:type="dxa" w:w="20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PDF</w:t>
            </w:r>
          </w:p>
        </w:tc>
        <w:tc>
          <w:tcPr>
            <w:tcW w:type="dxa" w:w="35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pdfkit</w:t>
            </w:r>
          </w:p>
        </w:tc>
        <w:tc>
          <w:tcPr>
            <w:tcW w:type="dxa" w:w="3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../backend/src/routes/comprobantes.js</w:t>
            </w:r>
          </w:p>
        </w:tc>
      </w:tr>
      <w:tr>
        <w:tc>
          <w:tcPr>
            <w:tcW w:type="dxa" w:w="20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35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HTML estático + Bootstrap 5.3.3 y Chart.js 4.4.4 por CDN, JS sin framework</w:t>
            </w:r>
          </w:p>
        </w:tc>
        <w:tc>
          <w:tcPr>
            <w:tcW w:type="dxa" w:w="3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../frontend/*.html</w:t>
            </w:r>
          </w:p>
        </w:tc>
      </w:tr>
      <w:tr>
        <w:tc>
          <w:tcPr>
            <w:tcW w:type="dxa" w:w="20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Automatización</w:t>
            </w:r>
          </w:p>
        </w:tc>
        <w:tc>
          <w:tcPr>
            <w:tcW w:type="dxa" w:w="35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n8n 1.110.1 en Docker</w:t>
            </w:r>
          </w:p>
        </w:tc>
        <w:tc>
          <w:tcPr>
            <w:tcW w:type="dxa" w:w="3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../n8n/docker-compose.yml</w:t>
            </w:r>
          </w:p>
        </w:tc>
      </w:tr>
      <w:tr>
        <w:tc>
          <w:tcPr>
            <w:tcW w:type="dxa" w:w="20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Pruebas</w:t>
            </w:r>
          </w:p>
        </w:tc>
        <w:tc>
          <w:tcPr>
            <w:tcW w:type="dxa" w:w="35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Jest 30 + supertest + jsdom;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node:test</w:t>
            </w:r>
          </w:p>
        </w:tc>
        <w:tc>
          <w:tcPr>
            <w:tcW w:type="dxa" w:w="37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../backend/test/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3. Arranque del servidor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../backend/server.js</w:t>
      </w:r>
      <w:r>
        <w:t xml:space="preserve"> ejecuta en orden: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Carga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backend/.env</w:t>
      </w:r>
      <w:r>
        <w:t xml:space="preserve">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dotenv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Valida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ASSISTANT_MODE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rules</w:t>
      </w:r>
      <w:r>
        <w:t xml:space="preserve">|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llm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validarConfiguracionSegura()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src/configSegura.js</w:t>
      </w:r>
      <w:r>
        <w:t xml:space="preserve">): sin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JWT_SECRET</w:t>
      </w:r>
      <w:r>
        <w:t xml:space="preserve"> ≥32 caracteres o sin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ENC_KEY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HMAC_KEY</w:t>
      </w:r>
      <w:r>
        <w:t xml:space="preserve"> válidas </w:t>
      </w:r>
      <w:r>
        <w:rPr>
          <w:b/>
          <w:bCs/>
        </w:rPr>
        <w:t xml:space="preserve">el servidor no arranca</w:t>
      </w:r>
      <w:r>
        <w:t xml:space="preserve"> en ningún entorno.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getPaymentProvider()</w:t>
      </w:r>
      <w:r>
        <w:t xml:space="preserve"> (falla si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PAYMENT_MODE</w:t>
      </w:r>
      <w:r>
        <w:t xml:space="preserve"> es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sandbox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prod</w:t>
      </w:r>
      <w:r>
        <w:t xml:space="preserve">, no implementados).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validarConfiguracionCorreo()</w:t>
      </w:r>
      <w:r>
        <w:t xml:space="preserve"> (en producción exige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SMTP_HOST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migrar()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src/db.js</w:t>
      </w:r>
      <w:r>
        <w:t xml:space="preserve">): crea/actualiza tablas y aplica migraciones versionadas 001–003; siembra categorías, productos y, si hay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ADMIN_PASSWORD</w:t>
      </w:r>
      <w:r>
        <w:t xml:space="preserve"> ≥12, el primer administrador.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Inicia: refresco del índice del asistente, worker de correo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emailOutbox</w:t>
      </w:r>
      <w:r>
        <w:t xml:space="preserve">), worker de automatizaciones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automationOutbox</w:t>
      </w:r>
      <w:r>
        <w:t xml:space="preserve">), job de expiración de pedidos (60 s), job de verificaciones (5 min), sincronización del padrón (al arrancar y cada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PADRON_SYNC_MINUTOS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600" w:footer="600" w:gutter="0"/>
          <w:pgNumType/>
          <w:docGrid w:linePitch="360"/>
        </w:sectPr>
      </w:pPr>
      <w:r>
        <w:t xml:space="preserve">Escucha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PORT</w:t>
      </w:r>
      <w:r>
        <w:t xml:space="preserve"> (código: 8080 por defecto;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.env.example</w:t>
      </w:r>
      <w:r>
        <w:t xml:space="preserve">: 8081).</w:t>
      </w:r>
    </w:p>
    <w:p>
      <w:pPr>
        <w:pStyle w:val="Heading2"/>
        <w:keepNext/>
      </w:pPr>
      <w:r>
        <w:t xml:space="preserve">4. Recorrido de una petición</w:t>
      </w:r>
    </w:p>
    <w:p>
      <w:pPr>
        <w:spacing w:after="160" w:before="80" w:line="240"/>
        <w:jc w:val="center"/>
        <w:sectPr>
          <w:headerReference w:type="default" r:id="rId8"/>
          <w:footerReference w:type="default" r:id="rId9"/>
          <w:pgSz w:w="15840" w:h="12240" w:orient="landscape"/>
          <w:pgMar w:top="1440" w:right="1440" w:bottom="1440" w:left="1440" w:header="600" w:footer="600" w:gutter="0"/>
          <w:pgNumType/>
          <w:docGrid w:linePitch="360"/>
        </w:sectPr>
      </w:pPr>
      <w:r>
        <w:drawing>
          <wp:inline distT="0" distB="0" distL="0" distR="0">
            <wp:extent cx="8191500" cy="2847975"/>
            <wp:effectExtent t="0" r="0" b="0" l="0"/>
            <wp:docPr id="39" name="diagrama" descr="Diagrama generado a partir de Mermaid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Puntos clave: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El JWT solo identifica (uid, sv, mfa). Estado de cuenta, rol, permisos y elegibilidad se </w:t>
      </w:r>
      <w:r>
        <w:rPr>
          <w:b/>
          <w:bCs/>
        </w:rPr>
        <w:t xml:space="preserve">leen de MySQL en cada petición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app.js</w:t>
      </w:r>
      <w:r>
        <w:t xml:space="preserve"> aplica límites de cuerpo: 10 kb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/api/auth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/api/admin/solicitudes</w:t>
      </w:r>
      <w:r>
        <w:t xml:space="preserve">, 100 kb en el resto,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express.raw</w:t>
      </w:r>
      <w:r>
        <w:t xml:space="preserve"> 64 kb para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/api/pagos/webhook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El mismo proceso sirve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../frontend/</w:t>
      </w:r>
      <w:r>
        <w:t xml:space="preserve"> como estáticos (sin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index</w:t>
      </w:r>
      <w:r>
        <w:t xml:space="preserve"> automático;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</w:t>
      </w:r>
      <w:r>
        <w:t xml:space="preserve"> redirige 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landing.html</w:t>
      </w:r>
      <w:r>
        <w:t xml:space="preserve">)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../backend/img/</w:t>
      </w:r>
      <w:r>
        <w:t xml:space="preserve">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/img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Manejador final de errores: 400 JSON inválido, 413 cuerpo grande, 500 genérico.</w:t>
      </w:r>
    </w:p>
    <w:p>
      <w:pPr>
        <w:pStyle w:val="Heading2"/>
        <w:keepNext/>
      </w:pPr>
      <w:r>
        <w:t xml:space="preserve">5. Conceptos de seguridad que todo desarrollador debe conocer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5"/>
        <w:gridCol w:w="3559"/>
        <w:gridCol w:w="3816"/>
      </w:tblGrid>
      <w:tr>
        <w:trPr>
          <w:tblHeader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Concepto</w:t>
            </w:r>
          </w:p>
        </w:tc>
        <w:tc>
          <w:tcPr>
            <w:tcW w:type="dxa" w:w="3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Dónde</w:t>
            </w:r>
          </w:p>
        </w:tc>
        <w:tc>
          <w:tcPr>
            <w:tcW w:type="dxa" w:w="38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Regla</w:t>
            </w:r>
          </w:p>
        </w:tc>
      </w:tr>
      <w:t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Cifrado por campo v1 (registro verificado)</w:t>
            </w:r>
          </w:p>
        </w:tc>
        <w:tc>
          <w:tcPr>
            <w:tcW w:type="dxa" w:w="3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src/seguridad/cifradoCampos.js</w:t>
            </w:r>
          </w:p>
        </w:tc>
        <w:tc>
          <w:tcPr>
            <w:tcW w:type="dxa" w:w="38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AES-256-GCM, AAD = nombre del campo,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ENC_KEY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HMAC_KEY</w:t>
            </w:r>
            <w:r>
              <w:rPr>
                <w:sz w:val="17"/>
                <w:szCs w:val="17"/>
              </w:rPr>
              <w:t xml:space="preserve"> hex de 32 bytes</w:t>
            </w:r>
          </w:p>
        </w:tc>
      </w:tr>
      <w:t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Cifrado v2 / heredado</w:t>
            </w:r>
          </w:p>
        </w:tc>
        <w:tc>
          <w:tcPr>
            <w:tcW w:type="dxa" w:w="3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src/crypto.js</w:t>
            </w:r>
          </w:p>
        </w:tc>
        <w:tc>
          <w:tcPr>
            <w:tcW w:type="dxa" w:w="38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Anillo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CRYPTO_KEYS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CRYPTO_KEY_ACTIVA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CRYPTO_KEY</w:t>
            </w:r>
            <w:r>
              <w:rPr>
                <w:sz w:val="17"/>
                <w:szCs w:val="17"/>
              </w:rPr>
              <w:t xml:space="preserve"> heredada solo compatible</w:t>
            </w:r>
          </w:p>
        </w:tc>
      </w:tr>
      <w:t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Índices ciegos</w:t>
            </w:r>
          </w:p>
        </w:tc>
        <w:tc>
          <w:tcPr>
            <w:tcW w:type="dxa" w:w="3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cifradoCampos.indiceCiego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IDENT_HMAC_KEY</w:t>
            </w:r>
          </w:p>
        </w:tc>
        <w:tc>
          <w:tcPr>
            <w:tcW w:type="dxa" w:w="38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Búsqueda por igualdad sin descifrar</w:t>
            </w:r>
          </w:p>
        </w:tc>
      </w:tr>
      <w:t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Firmas hacia n8n</w:t>
            </w:r>
          </w:p>
        </w:tc>
        <w:tc>
          <w:tcPr>
            <w:tcW w:type="dxa" w:w="3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src/automationSignatures.js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src/seguridad/avisosN8n.js</w:t>
            </w:r>
          </w:p>
        </w:tc>
        <w:tc>
          <w:tcPr>
            <w:tcW w:type="dxa" w:w="38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HMAC-SHA256 + ventana de 5 min</w:t>
            </w:r>
          </w:p>
        </w:tc>
      </w:tr>
      <w:t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Webhook de pago</w:t>
            </w:r>
          </w:p>
        </w:tc>
        <w:tc>
          <w:tcPr>
            <w:tcW w:type="dxa" w:w="3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src/paymentProvider.js</w:t>
            </w:r>
          </w:p>
        </w:tc>
        <w:tc>
          <w:tcPr>
            <w:tcW w:type="dxa" w:w="38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HMAC sobre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timestamp.cuerpo-raw</w:t>
            </w:r>
          </w:p>
        </w:tc>
      </w:tr>
      <w:t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Permisos</w:t>
            </w:r>
          </w:p>
        </w:tc>
        <w:tc>
          <w:tcPr>
            <w:tcW w:type="dxa" w:w="3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src/autorizacion.js</w:t>
            </w:r>
          </w:p>
        </w:tc>
        <w:tc>
          <w:tcPr>
            <w:tcW w:type="dxa" w:w="38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13 permisos; superadmin sin datos personales implícitos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6. Estado general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81"/>
        <w:gridCol w:w="5679"/>
      </w:tblGrid>
      <w:tr>
        <w:trPr>
          <w:tblHeader/>
        </w:trPr>
        <w:tc>
          <w:tcPr>
            <w:tcW w:type="dxa" w:w="36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Aspecto</w:t>
            </w:r>
          </w:p>
        </w:tc>
        <w:tc>
          <w:tcPr>
            <w:tcW w:type="dxa" w:w="56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36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Suites unitarias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test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56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 — 107/107 Jest y 51/51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node:test</w:t>
            </w:r>
            <w:r>
              <w:rPr>
                <w:sz w:val="17"/>
                <w:szCs w:val="17"/>
              </w:rPr>
              <w:t xml:space="preserve"> el 2026-10-16</w:t>
            </w:r>
          </w:p>
        </w:tc>
      </w:tr>
      <w:tr>
        <w:tc>
          <w:tcPr>
            <w:tcW w:type="dxa" w:w="36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Integración MySQL y UI jsdom</w:t>
            </w:r>
          </w:p>
        </w:tc>
        <w:tc>
          <w:tcPr>
            <w:tcW w:type="dxa" w:w="56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 (evidencia histórica no reproducida)</w:t>
            </w:r>
          </w:p>
        </w:tc>
      </w:tr>
      <w:tr>
        <w:tc>
          <w:tcPr>
            <w:tcW w:type="dxa" w:w="36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Pasarela de pago real</w:t>
            </w:r>
          </w:p>
        </w:tc>
        <w:tc>
          <w:tcPr>
            <w:tcW w:type="dxa" w:w="56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DOCUMENTADO, NO IMPLEMENTADO (REQ</w:t>
              <w:noBreakHyphen/>
              <w:t xml:space="preserve">F</w:t>
              <w:noBreakHyphen/>
              <w:t xml:space="preserve">040)</w:t>
            </w:r>
          </w:p>
        </w:tc>
      </w:tr>
      <w:tr>
        <w:tc>
          <w:tcPr>
            <w:tcW w:type="dxa" w:w="36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Workflows n8n desplegados</w:t>
            </w:r>
          </w:p>
        </w:tc>
        <w:tc>
          <w:tcPr>
            <w:tcW w:type="dxa" w:w="56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DETERMINADO (REQ</w:t>
              <w:noBreakHyphen/>
              <w:t xml:space="preserve">F</w:t>
              <w:noBreakHyphen/>
              <w:t xml:space="preserve">036; todos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active: false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36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HTTPS/CSP/HSTS</w:t>
            </w:r>
          </w:p>
        </w:tc>
        <w:tc>
          <w:tcPr>
            <w:tcW w:type="dxa" w:w="56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(BUG</w:t>
              <w:noBreakHyphen/>
              <w:t xml:space="preserve">012)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3"/>
        </w:numPr>
        <w:spacing w:after="40"/>
      </w:pPr>
      <w:hyperlink w:history="1" r:id="rIdorqv4nhqz0aveww2s_coy">
        <w:r>
          <w:rPr>
            <w:color w:val="1D4ED8"/>
            <w:u w:val="single"/>
          </w:rPr>
          <w:t xml:space="preserve">02_ESTRUCTURA_REAL_DEL_CODIGO.docx</w:t>
        </w:r>
      </w:hyperlink>
      <w:r>
        <w:t xml:space="preserve"> · </w:t>
      </w:r>
      <w:hyperlink w:history="1" r:id="rId7fhreuenzwj1oat2ondrt">
        <w:r>
          <w:rPr>
            <w:color w:val="1D4ED8"/>
            <w:u w:val="single"/>
          </w:rPr>
          <w:t xml:space="preserve">03_MODULOS_Y_RESPONSABILIDADES.docx</w:t>
        </w:r>
      </w:hyperlink>
      <w:r>
        <w:t xml:space="preserve"> · </w:t>
      </w:r>
      <w:hyperlink w:history="1" r:id="rId_fddd8mmhsw6bw4tlawej">
        <w:r>
          <w:rPr>
            <w:color w:val="1D4ED8"/>
            <w:u w:val="single"/>
          </w:rPr>
          <w:t xml:space="preserve">08_CONTRATOS_Y_ENDPOINTS_DE_API.docx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t6la2m2i05gziefqvodph">
        <w:r>
          <w:rPr>
            <w:color w:val="1D4ED8"/>
            <w:u w:val="single"/>
          </w:rPr>
          <w:t xml:space="preserve">../03_DISENO/02_ARQUITECTURA_ACTUAL.docx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ecq2gg9sonu66hldidgcc">
        <w:r>
          <w:rPr>
            <w:color w:val="1D4ED8"/>
            <w:u w:val="single"/>
          </w:rPr>
          <w:t xml:space="preserve">../docs/ARQUITECTURA_OBJETIVO.md</w:t>
        </w:r>
      </w:hyperlink>
      <w:r>
        <w:t xml:space="preserve"> · </w:t>
      </w:r>
      <w:hyperlink w:history="1" r:id="rId1mvc88bncq91l7xyp728h">
        <w:r>
          <w:rPr>
            <w:color w:val="1D4ED8"/>
            <w:u w:val="single"/>
          </w:rPr>
          <w:t xml:space="preserve">../docs/REGISTRO_VERIFICADO.md</w:t>
        </w:r>
      </w:hyperlink>
    </w:p>
    <w:sectPr>
      <w:headerReference w:type="default" r:id="rId10"/>
      <w:footerReference w:type="default" r:id="rId11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Guía técnica del proyecto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Guía técnica del proyecto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Guía técnica del proyecto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theme" Target="theme/theme1.xml"/><Relationship Id="rIdorqv4nhqz0aveww2s_coy" Type="http://schemas.openxmlformats.org/officeDocument/2006/relationships/hyperlink" Target="02_ESTRUCTURA_REAL_DEL_CODIGO.docx" TargetMode="External"/><Relationship Id="rId7fhreuenzwj1oat2ondrt" Type="http://schemas.openxmlformats.org/officeDocument/2006/relationships/hyperlink" Target="03_MODULOS_Y_RESPONSABILIDADES.docx" TargetMode="External"/><Relationship Id="rId_fddd8mmhsw6bw4tlawej" Type="http://schemas.openxmlformats.org/officeDocument/2006/relationships/hyperlink" Target="08_CONTRATOS_Y_ENDPOINTS_DE_API.docx" TargetMode="External"/><Relationship Id="rIdt6la2m2i05gziefqvodph" Type="http://schemas.openxmlformats.org/officeDocument/2006/relationships/hyperlink" Target="../03_DISENO/02_ARQUITECTURA_ACTUAL.docx" TargetMode="External"/><Relationship Id="rIdecq2gg9sonu66hldidgcc" Type="http://schemas.openxmlformats.org/officeDocument/2006/relationships/hyperlink" Target="../docs/ARQUITECTURA_OBJETIVO.md" TargetMode="External"/><Relationship Id="rId1mvc88bncq91l7xyp728h" Type="http://schemas.openxmlformats.org/officeDocument/2006/relationships/hyperlink" Target="../docs/REGISTRO_VERIFICADO.md" TargetMode="External"/><Relationship Id="rId19" Type="http://schemas.openxmlformats.org/officeDocument/2006/relationships/image" Target="media/0e16c446f1e89fddb8ce1dd8ea49c2b24b8f4470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técnica del proyecto</dc:title>
  <dc:creator>Suministros Institucionales — documentación del proyecto</dc:creator>
  <dc:description>Generado a partir de 04_DESARROLLO/01_GUIA_TECNICA_DEL_PROYECTO.md</dc:description>
  <cp:lastModifiedBy>Un-named</cp:lastModifiedBy>
  <cp:revision>1</cp:revision>
  <dcterms:created xsi:type="dcterms:W3CDTF">2026-10-16T16:29:39.426Z</dcterms:created>
  <dcterms:modified xsi:type="dcterms:W3CDTF">2026-10-16T16:29:39.426Z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